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4"/>
        <w:spacing w:line="480" w:lineRule="auto"/>
        <w:ind w:firstLine="0" w:firstLineChars="0"/>
        <w:jc w:val="center"/>
        <w:rPr>
          <w:rFonts w:hint="eastAsia" w:ascii="Times New Roman" w:hAnsi="Times New Roman" w:eastAsia="宋体"/>
          <w:b/>
          <w:bCs/>
          <w:color w:val="auto"/>
          <w:sz w:val="48"/>
          <w:szCs w:val="48"/>
        </w:rPr>
      </w:pPr>
    </w:p>
    <w:p>
      <w:pPr>
        <w:pStyle w:val="104"/>
        <w:spacing w:line="480" w:lineRule="auto"/>
        <w:ind w:firstLine="0" w:firstLineChars="0"/>
        <w:jc w:val="center"/>
        <w:rPr>
          <w:rFonts w:hint="eastAsia" w:ascii="Times New Roman" w:hAnsi="Times New Roman" w:eastAsia="宋体"/>
          <w:b/>
          <w:bCs/>
          <w:sz w:val="48"/>
          <w:szCs w:val="48"/>
        </w:rPr>
      </w:pPr>
      <w:r>
        <w:rPr>
          <w:rFonts w:hint="eastAsia" w:ascii="Times New Roman" w:hAnsi="Times New Roman" w:eastAsia="宋体"/>
          <w:b/>
          <w:bCs/>
          <w:sz w:val="48"/>
          <w:szCs w:val="48"/>
        </w:rPr>
        <w:t>合肥皖玻塑业有限公司</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bCs/>
          <w:sz w:val="48"/>
          <w:szCs w:val="48"/>
        </w:rPr>
        <w:t>年产8000吨再生塑料颗粒生产项目</w:t>
      </w:r>
    </w:p>
    <w:p>
      <w:pPr>
        <w:pStyle w:val="104"/>
        <w:spacing w:line="480" w:lineRule="auto"/>
        <w:ind w:firstLine="0" w:firstLineChars="0"/>
        <w:jc w:val="center"/>
        <w:rPr>
          <w:rFonts w:ascii="Times New Roman" w:hAnsi="Times New Roman" w:eastAsia="宋体"/>
          <w:b/>
          <w:sz w:val="44"/>
          <w:szCs w:val="44"/>
        </w:rPr>
      </w:pPr>
      <w:r>
        <w:rPr>
          <w:rFonts w:hint="eastAsia" w:ascii="Times New Roman" w:hAnsi="Times New Roman" w:eastAsia="宋体"/>
          <w:b/>
          <w:sz w:val="44"/>
          <w:szCs w:val="44"/>
          <w:lang w:eastAsia="zh-CN"/>
        </w:rPr>
        <w:t>（阶段性）</w:t>
      </w:r>
      <w:r>
        <w:rPr>
          <w:rFonts w:hint="eastAsia" w:ascii="Times New Roman" w:hAnsi="Times New Roman" w:eastAsia="宋体"/>
          <w:b/>
          <w:sz w:val="44"/>
          <w:szCs w:val="44"/>
        </w:rPr>
        <w:t>竣工环境保护验收监测报告</w:t>
      </w: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left"/>
        <w:rPr>
          <w:rFonts w:ascii="Times New Roman" w:hAnsi="Times New Roman" w:eastAsia="宋体" w:cs="仿宋"/>
          <w:color w:val="auto"/>
          <w:kern w:val="0"/>
          <w:sz w:val="28"/>
          <w:szCs w:val="28"/>
        </w:rPr>
      </w:pPr>
    </w:p>
    <w:p>
      <w:pPr>
        <w:autoSpaceDE w:val="0"/>
        <w:autoSpaceDN w:val="0"/>
        <w:adjustRightInd w:val="0"/>
        <w:jc w:val="center"/>
        <w:rPr>
          <w:rFonts w:ascii="Times New Roman" w:hAnsi="Times New Roman" w:eastAsia="宋体" w:cs="仿宋"/>
          <w:color w:val="auto"/>
          <w:kern w:val="0"/>
          <w:sz w:val="30"/>
          <w:szCs w:val="30"/>
        </w:rPr>
      </w:pPr>
      <w:r>
        <w:rPr>
          <w:rFonts w:hint="eastAsia" w:ascii="Times New Roman" w:hAnsi="Times New Roman" w:eastAsia="宋体" w:cs="仿宋"/>
          <w:color w:val="auto"/>
          <w:kern w:val="0"/>
          <w:sz w:val="30"/>
          <w:szCs w:val="30"/>
        </w:rPr>
        <w:t xml:space="preserve">          </w: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r>
        <w:rPr>
          <w:rFonts w:ascii="Times New Roman" w:hAnsi="Times New Roman" w:eastAsia="宋体" w:cs="仿宋"/>
          <w:color w:val="auto"/>
          <w:kern w:val="0"/>
          <w:sz w:val="28"/>
          <w:szCs w:val="28"/>
        </w:rPr>
        <mc:AlternateContent>
          <mc:Choice Requires="wps">
            <w:drawing>
              <wp:anchor distT="0" distB="0" distL="114300" distR="114300" simplePos="0" relativeHeight="251662336" behindDoc="0" locked="0" layoutInCell="1" allowOverlap="1">
                <wp:simplePos x="0" y="0"/>
                <wp:positionH relativeFrom="column">
                  <wp:posOffset>127000</wp:posOffset>
                </wp:positionH>
                <wp:positionV relativeFrom="paragraph">
                  <wp:posOffset>143510</wp:posOffset>
                </wp:positionV>
                <wp:extent cx="5039360" cy="2320925"/>
                <wp:effectExtent l="0" t="0" r="8890" b="3175"/>
                <wp:wrapNone/>
                <wp:docPr id="467" name="Text Box 105"/>
                <wp:cNvGraphicFramePr/>
                <a:graphic xmlns:a="http://schemas.openxmlformats.org/drawingml/2006/main">
                  <a:graphicData uri="http://schemas.microsoft.com/office/word/2010/wordprocessingShape">
                    <wps:wsp>
                      <wps:cNvSpPr txBox="1">
                        <a:spLocks noChangeArrowheads="1"/>
                      </wps:cNvSpPr>
                      <wps:spPr bwMode="auto">
                        <a:xfrm>
                          <a:off x="0" y="0"/>
                          <a:ext cx="5039360" cy="2320925"/>
                        </a:xfrm>
                        <a:prstGeom prst="rect">
                          <a:avLst/>
                        </a:prstGeom>
                        <a:solidFill>
                          <a:srgbClr val="FFFFFF"/>
                        </a:solidFill>
                        <a:ln>
                          <a:noFill/>
                        </a:ln>
                        <a:effectLst/>
                      </wps:spPr>
                      <wps:txb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合肥皖玻塑业有限公司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widowControl/>
                              <w:jc w:val="left"/>
                              <w:rPr>
                                <w:rFonts w:hint="default" w:ascii="Times New Roman" w:hAnsi="Times New Roman" w:eastAsia="宋体" w:cs="Times New Roman"/>
                                <w:b/>
                                <w:bCs/>
                                <w:color w:val="auto"/>
                                <w:sz w:val="30"/>
                                <w:szCs w:val="30"/>
                                <w:u w:val="single"/>
                                <w:lang w:val="en-US" w:eastAsia="zh-CN"/>
                              </w:rPr>
                            </w:pPr>
                            <w:r>
                              <w:rPr>
                                <w:rFonts w:hint="eastAsia" w:ascii="Times New Roman" w:hAnsi="Times New Roman" w:eastAsia="宋体" w:cs="Times New Roman"/>
                                <w:b/>
                                <w:bCs/>
                                <w:color w:val="auto"/>
                                <w:sz w:val="30"/>
                                <w:szCs w:val="30"/>
                              </w:rPr>
                              <w:t>建设</w:t>
                            </w:r>
                            <w:r>
                              <w:rPr>
                                <w:rFonts w:ascii="Times New Roman" w:hAnsi="Times New Roman" w:eastAsia="宋体" w:cs="Times New Roman"/>
                                <w:b/>
                                <w:bCs/>
                                <w:color w:val="auto"/>
                                <w:sz w:val="30"/>
                                <w:szCs w:val="30"/>
                              </w:rPr>
                              <w:t>单位</w:t>
                            </w:r>
                            <w:r>
                              <w:rPr>
                                <w:rFonts w:hint="eastAsia" w:ascii="Times New Roman" w:hAnsi="Times New Roman" w:eastAsia="宋体" w:cs="Times New Roman"/>
                                <w:b/>
                                <w:bCs/>
                                <w:color w:val="auto"/>
                                <w:sz w:val="30"/>
                                <w:szCs w:val="30"/>
                              </w:rPr>
                              <w:t>法人代表</w:t>
                            </w:r>
                            <w:r>
                              <w:rPr>
                                <w:rFonts w:ascii="Times New Roman" w:hAnsi="Times New Roman" w:eastAsia="宋体" w:cs="Times New Roman"/>
                                <w:b/>
                                <w:bCs/>
                                <w:color w:val="auto"/>
                                <w:sz w:val="30"/>
                                <w:szCs w:val="30"/>
                              </w:rPr>
                              <w:t>：</w:t>
                            </w:r>
                            <w:r>
                              <w:rPr>
                                <w:rFonts w:hint="eastAsia" w:ascii="Times New Roman" w:hAnsi="Times New Roman" w:eastAsia="宋体" w:cs="Times New Roman"/>
                                <w:b/>
                                <w:bCs/>
                                <w:color w:val="auto"/>
                                <w:sz w:val="30"/>
                                <w:szCs w:val="30"/>
                                <w:u w:val="single"/>
                                <w:lang w:val="en-US" w:eastAsia="zh-CN"/>
                              </w:rPr>
                              <w:t xml:space="preserve">       赵奎                     </w:t>
                            </w:r>
                          </w:p>
                          <w:p/>
                        </w:txbxContent>
                      </wps:txbx>
                      <wps:bodyPr rot="0" vert="horz" wrap="square" lIns="91440" tIns="45720" rIns="91440" bIns="45720" anchor="t" anchorCtr="0" upright="1">
                        <a:noAutofit/>
                      </wps:bodyPr>
                    </wps:wsp>
                  </a:graphicData>
                </a:graphic>
              </wp:anchor>
            </w:drawing>
          </mc:Choice>
          <mc:Fallback>
            <w:pict>
              <v:shape id="Text Box 105" o:spid="_x0000_s1026" o:spt="202" type="#_x0000_t202" style="position:absolute;left:0pt;margin-left:10pt;margin-top:11.3pt;height:182.75pt;width:396.8pt;z-index:251662336;mso-width-relative:page;mso-height-relative:page;" fillcolor="#FFFFFF" filled="t" stroked="f" coordsize="21600,21600" o:gfxdata="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6P9&#10;6tYAAAAJAQAADwAAAAAAAAABACAAAAAiAAAAZHJzL2Rvd25yZXYueG1sUEsBAhQAFAAAAAgAh07i&#10;QHTn+TckAgAAUAQAAA4AAAAAAAAAAQAgAAAAJQEAAGRycy9lMm9Eb2MueG1sUEsFBgAAAAAGAAYA&#10;WQEAALsFAAAAAA==&#10;">
                <v:fill on="t" focussize="0,0"/>
                <v:stroke on="f"/>
                <v:imagedata o:title=""/>
                <o:lock v:ext="edit" aspectratio="f"/>
                <v:textbox>
                  <w:txbxContent>
                    <w:p>
                      <w:pPr>
                        <w:spacing w:beforeLines="100" w:afterLines="100" w:line="600" w:lineRule="exact"/>
                        <w:jc w:val="left"/>
                        <w:rPr>
                          <w:rFonts w:ascii="Times New Roman" w:hAnsi="Times New Roman" w:cs="Times New Roman"/>
                          <w:b/>
                          <w:sz w:val="32"/>
                          <w:szCs w:val="32"/>
                          <w:u w:val="single"/>
                        </w:rPr>
                      </w:pPr>
                      <w:r>
                        <w:rPr>
                          <w:rFonts w:hint="eastAsia" w:ascii="Times New Roman" w:hAnsi="Times New Roman" w:cs="Times New Roman"/>
                          <w:b/>
                          <w:sz w:val="32"/>
                          <w:szCs w:val="32"/>
                        </w:rPr>
                        <w:t>建设</w:t>
                      </w:r>
                      <w:r>
                        <w:rPr>
                          <w:rFonts w:ascii="Times New Roman" w:hAnsi="Times New Roman" w:cs="Times New Roman"/>
                          <w:b/>
                          <w:sz w:val="32"/>
                          <w:szCs w:val="32"/>
                        </w:rPr>
                        <w:t>单位：</w:t>
                      </w:r>
                      <w:r>
                        <w:rPr>
                          <w:rFonts w:hint="eastAsia" w:ascii="Times New Roman" w:hAnsi="Times New Roman" w:cs="Times New Roman"/>
                          <w:b/>
                          <w:sz w:val="32"/>
                          <w:szCs w:val="32"/>
                          <w:u w:val="single"/>
                        </w:rPr>
                        <w:t xml:space="preserve">       </w:t>
                      </w:r>
                      <w:r>
                        <w:rPr>
                          <w:rFonts w:hint="eastAsia" w:ascii="Times New Roman" w:hAnsi="Times New Roman" w:cs="Times New Roman"/>
                          <w:b/>
                          <w:sz w:val="32"/>
                          <w:szCs w:val="32"/>
                          <w:u w:val="single"/>
                          <w:lang w:eastAsia="zh-CN"/>
                        </w:rPr>
                        <w:t>合肥皖玻塑业有限公司</w:t>
                      </w:r>
                      <w:r>
                        <w:rPr>
                          <w:rFonts w:hint="eastAsia" w:ascii="Times New Roman" w:hAnsi="Times New Roman" w:cs="Times New Roman"/>
                          <w:b/>
                          <w:sz w:val="32"/>
                          <w:szCs w:val="32"/>
                          <w:u w:val="single"/>
                        </w:rPr>
                        <w:tab/>
                      </w:r>
                      <w:r>
                        <w:rPr>
                          <w:rFonts w:hint="eastAsia" w:ascii="Times New Roman" w:hAnsi="Times New Roman" w:cs="Times New Roman"/>
                          <w:b/>
                          <w:sz w:val="32"/>
                          <w:szCs w:val="32"/>
                          <w:u w:val="single"/>
                        </w:rPr>
                        <w:t xml:space="preserve">          </w:t>
                      </w:r>
                    </w:p>
                    <w:p>
                      <w:pPr>
                        <w:widowControl/>
                        <w:jc w:val="left"/>
                        <w:rPr>
                          <w:rFonts w:hint="default" w:ascii="Times New Roman" w:hAnsi="Times New Roman" w:eastAsia="宋体" w:cs="Times New Roman"/>
                          <w:b/>
                          <w:bCs/>
                          <w:color w:val="auto"/>
                          <w:sz w:val="30"/>
                          <w:szCs w:val="30"/>
                          <w:u w:val="single"/>
                          <w:lang w:val="en-US" w:eastAsia="zh-CN"/>
                        </w:rPr>
                      </w:pPr>
                      <w:r>
                        <w:rPr>
                          <w:rFonts w:hint="eastAsia" w:ascii="Times New Roman" w:hAnsi="Times New Roman" w:eastAsia="宋体" w:cs="Times New Roman"/>
                          <w:b/>
                          <w:bCs/>
                          <w:color w:val="auto"/>
                          <w:sz w:val="30"/>
                          <w:szCs w:val="30"/>
                        </w:rPr>
                        <w:t>建设</w:t>
                      </w:r>
                      <w:r>
                        <w:rPr>
                          <w:rFonts w:ascii="Times New Roman" w:hAnsi="Times New Roman" w:eastAsia="宋体" w:cs="Times New Roman"/>
                          <w:b/>
                          <w:bCs/>
                          <w:color w:val="auto"/>
                          <w:sz w:val="30"/>
                          <w:szCs w:val="30"/>
                        </w:rPr>
                        <w:t>单位</w:t>
                      </w:r>
                      <w:r>
                        <w:rPr>
                          <w:rFonts w:hint="eastAsia" w:ascii="Times New Roman" w:hAnsi="Times New Roman" w:eastAsia="宋体" w:cs="Times New Roman"/>
                          <w:b/>
                          <w:bCs/>
                          <w:color w:val="auto"/>
                          <w:sz w:val="30"/>
                          <w:szCs w:val="30"/>
                        </w:rPr>
                        <w:t>法人代表</w:t>
                      </w:r>
                      <w:r>
                        <w:rPr>
                          <w:rFonts w:ascii="Times New Roman" w:hAnsi="Times New Roman" w:eastAsia="宋体" w:cs="Times New Roman"/>
                          <w:b/>
                          <w:bCs/>
                          <w:color w:val="auto"/>
                          <w:sz w:val="30"/>
                          <w:szCs w:val="30"/>
                        </w:rPr>
                        <w:t>：</w:t>
                      </w:r>
                      <w:r>
                        <w:rPr>
                          <w:rFonts w:hint="eastAsia" w:ascii="Times New Roman" w:hAnsi="Times New Roman" w:eastAsia="宋体" w:cs="Times New Roman"/>
                          <w:b/>
                          <w:bCs/>
                          <w:color w:val="auto"/>
                          <w:sz w:val="30"/>
                          <w:szCs w:val="30"/>
                          <w:u w:val="single"/>
                          <w:lang w:val="en-US" w:eastAsia="zh-CN"/>
                        </w:rPr>
                        <w:t xml:space="preserve">       赵奎                     </w:t>
                      </w:r>
                    </w:p>
                    <w:p/>
                  </w:txbxContent>
                </v:textbox>
              </v:shape>
            </w:pict>
          </mc:Fallback>
        </mc:AlternateContent>
      </w: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30"/>
          <w:szCs w:val="30"/>
        </w:rPr>
      </w:pPr>
    </w:p>
    <w:p>
      <w:pPr>
        <w:autoSpaceDE w:val="0"/>
        <w:autoSpaceDN w:val="0"/>
        <w:adjustRightInd w:val="0"/>
        <w:jc w:val="center"/>
        <w:rPr>
          <w:rFonts w:ascii="Times New Roman" w:hAnsi="Times New Roman" w:eastAsia="宋体" w:cs="仿宋"/>
          <w:color w:val="auto"/>
          <w:kern w:val="0"/>
          <w:sz w:val="28"/>
          <w:szCs w:val="28"/>
        </w:rPr>
      </w:pPr>
      <w:r>
        <w:rPr>
          <w:rFonts w:hint="eastAsia" w:ascii="Times New Roman" w:hAnsi="Times New Roman" w:eastAsia="宋体" w:cs="仿宋"/>
          <w:color w:val="auto"/>
          <w:kern w:val="0"/>
          <w:sz w:val="30"/>
          <w:szCs w:val="30"/>
        </w:rPr>
        <w:t>二零一七</w:t>
      </w:r>
      <w:r>
        <w:rPr>
          <w:rFonts w:hint="eastAsia" w:ascii="Times New Roman" w:hAnsi="Times New Roman" w:eastAsia="宋体" w:cs="仿宋"/>
          <w:color w:val="auto"/>
          <w:kern w:val="0"/>
          <w:sz w:val="28"/>
          <w:szCs w:val="28"/>
        </w:rPr>
        <w:t>年</w:t>
      </w:r>
      <w:r>
        <w:rPr>
          <w:rFonts w:hint="eastAsia" w:ascii="Times New Roman" w:hAnsi="Times New Roman" w:eastAsia="宋体" w:cs="仿宋"/>
          <w:color w:val="auto"/>
          <w:kern w:val="0"/>
          <w:sz w:val="30"/>
          <w:szCs w:val="30"/>
        </w:rPr>
        <w:t>十一</w:t>
      </w:r>
      <w:r>
        <w:rPr>
          <w:rFonts w:hint="eastAsia" w:ascii="Times New Roman" w:hAnsi="Times New Roman" w:eastAsia="宋体" w:cs="仿宋"/>
          <w:color w:val="auto"/>
          <w:kern w:val="0"/>
          <w:sz w:val="28"/>
          <w:szCs w:val="28"/>
        </w:rPr>
        <w:t>月</w:t>
      </w: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32"/>
          <w:szCs w:val="32"/>
        </w:rPr>
      </w:pPr>
      <w:r>
        <w:rPr>
          <w:rFonts w:ascii="Times New Roman" w:hAnsi="Times New Roman" w:eastAsia="宋体" w:cs="Times New Roman"/>
          <w:b/>
          <w:color w:val="auto"/>
          <w:kern w:val="0"/>
          <w:sz w:val="32"/>
          <w:szCs w:val="32"/>
        </w:rPr>
        <w:t>二O二</w:t>
      </w:r>
      <w:r>
        <w:rPr>
          <w:rFonts w:hint="eastAsia" w:ascii="Times New Roman" w:hAnsi="Times New Roman" w:eastAsia="宋体" w:cs="Times New Roman"/>
          <w:b/>
          <w:color w:val="auto"/>
          <w:kern w:val="0"/>
          <w:sz w:val="32"/>
          <w:szCs w:val="32"/>
          <w:lang w:eastAsia="zh-CN"/>
        </w:rPr>
        <w:t>一</w:t>
      </w:r>
      <w:r>
        <w:rPr>
          <w:rFonts w:ascii="Times New Roman" w:hAnsi="Times New Roman" w:eastAsia="宋体" w:cs="Times New Roman"/>
          <w:b/>
          <w:color w:val="auto"/>
          <w:kern w:val="0"/>
          <w:sz w:val="32"/>
          <w:szCs w:val="32"/>
        </w:rPr>
        <w:t>年</w:t>
      </w:r>
      <w:r>
        <w:rPr>
          <w:rFonts w:hint="eastAsia" w:ascii="Times New Roman" w:hAnsi="Times New Roman" w:eastAsia="宋体" w:cs="Times New Roman"/>
          <w:b/>
          <w:color w:val="auto"/>
          <w:kern w:val="0"/>
          <w:sz w:val="32"/>
          <w:szCs w:val="32"/>
          <w:lang w:val="en-US" w:eastAsia="zh-CN"/>
        </w:rPr>
        <w:t>十一</w:t>
      </w:r>
      <w:r>
        <w:rPr>
          <w:rFonts w:ascii="Times New Roman" w:hAnsi="Times New Roman" w:eastAsia="宋体" w:cs="Times New Roman"/>
          <w:b/>
          <w:color w:val="auto"/>
          <w:kern w:val="0"/>
          <w:sz w:val="32"/>
          <w:szCs w:val="32"/>
        </w:rPr>
        <w:t>月</w:t>
      </w: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left"/>
        <w:rPr>
          <w:rFonts w:ascii="Times New Roman" w:hAnsi="Times New Roman" w:eastAsia="宋体" w:cs="宋体"/>
          <w:color w:val="auto"/>
          <w:kern w:val="0"/>
          <w:sz w:val="28"/>
          <w:szCs w:val="28"/>
        </w:rPr>
      </w:pPr>
    </w:p>
    <w:p>
      <w:pPr>
        <w:autoSpaceDE w:val="0"/>
        <w:autoSpaceDN w:val="0"/>
        <w:adjustRightInd w:val="0"/>
        <w:jc w:val="center"/>
        <w:rPr>
          <w:rFonts w:ascii="Times New Roman" w:hAnsi="Times New Roman" w:eastAsia="宋体" w:cs="Times New Roman"/>
          <w:b/>
          <w:color w:val="auto"/>
          <w:kern w:val="0"/>
          <w:sz w:val="28"/>
          <w:szCs w:val="28"/>
        </w:rPr>
      </w:pPr>
    </w:p>
    <w:p>
      <w:pPr>
        <w:widowControl/>
        <w:jc w:val="left"/>
        <w:rPr>
          <w:rFonts w:hint="eastAsia" w:ascii="Times New Roman" w:hAnsi="Times New Roman" w:eastAsia="宋体" w:cs="Times New Roman"/>
          <w:color w:val="auto"/>
          <w:sz w:val="30"/>
          <w:szCs w:val="30"/>
        </w:rPr>
      </w:pPr>
    </w:p>
    <w:p>
      <w:r>
        <w:drawing>
          <wp:inline distT="0" distB="0" distL="114300" distR="114300">
            <wp:extent cx="5831205" cy="8139430"/>
            <wp:effectExtent l="0" t="0" r="17145" b="1397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2"/>
                    <a:stretch>
                      <a:fillRect/>
                    </a:stretch>
                  </pic:blipFill>
                  <pic:spPr>
                    <a:xfrm>
                      <a:off x="0" y="0"/>
                      <a:ext cx="5831205" cy="8139430"/>
                    </a:xfrm>
                    <a:prstGeom prst="rect">
                      <a:avLst/>
                    </a:prstGeom>
                    <a:noFill/>
                    <a:ln>
                      <a:noFill/>
                    </a:ln>
                  </pic:spPr>
                </pic:pic>
              </a:graphicData>
            </a:graphic>
          </wp:inline>
        </w:drawing>
      </w:r>
      <w:r>
        <w:drawing>
          <wp:inline distT="0" distB="0" distL="114300" distR="114300">
            <wp:extent cx="5826125" cy="8519160"/>
            <wp:effectExtent l="0" t="0" r="3175" b="1524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3"/>
                    <a:stretch>
                      <a:fillRect/>
                    </a:stretch>
                  </pic:blipFill>
                  <pic:spPr>
                    <a:xfrm>
                      <a:off x="0" y="0"/>
                      <a:ext cx="5826125" cy="8519160"/>
                    </a:xfrm>
                    <a:prstGeom prst="rect">
                      <a:avLst/>
                    </a:prstGeom>
                    <a:noFill/>
                    <a:ln>
                      <a:noFill/>
                    </a:ln>
                  </pic:spPr>
                </pic:pic>
              </a:graphicData>
            </a:graphic>
          </wp:inline>
        </w:drawing>
      </w:r>
      <w:r>
        <w:drawing>
          <wp:inline distT="0" distB="0" distL="114300" distR="114300">
            <wp:extent cx="5827395" cy="8451850"/>
            <wp:effectExtent l="0" t="0" r="1905" b="635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4"/>
                    <a:stretch>
                      <a:fillRect/>
                    </a:stretch>
                  </pic:blipFill>
                  <pic:spPr>
                    <a:xfrm>
                      <a:off x="0" y="0"/>
                      <a:ext cx="5827395" cy="8451850"/>
                    </a:xfrm>
                    <a:prstGeom prst="rect">
                      <a:avLst/>
                    </a:prstGeom>
                    <a:noFill/>
                    <a:ln>
                      <a:noFill/>
                    </a:ln>
                  </pic:spPr>
                </pic:pic>
              </a:graphicData>
            </a:graphic>
          </wp:inline>
        </w:drawing>
      </w:r>
      <w:r>
        <w:drawing>
          <wp:inline distT="0" distB="0" distL="114300" distR="114300">
            <wp:extent cx="5830570" cy="7560945"/>
            <wp:effectExtent l="0" t="0" r="17780" b="1905"/>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15"/>
                    <a:stretch>
                      <a:fillRect/>
                    </a:stretch>
                  </pic:blipFill>
                  <pic:spPr>
                    <a:xfrm>
                      <a:off x="0" y="0"/>
                      <a:ext cx="5830570" cy="7560945"/>
                    </a:xfrm>
                    <a:prstGeom prst="rect">
                      <a:avLst/>
                    </a:prstGeom>
                    <a:noFill/>
                    <a:ln>
                      <a:noFill/>
                    </a:ln>
                  </pic:spPr>
                </pic:pic>
              </a:graphicData>
            </a:graphic>
          </wp:inline>
        </w:drawing>
      </w:r>
    </w:p>
    <w:p>
      <w:pPr>
        <w:pStyle w:val="2"/>
        <w:rPr>
          <w:rFonts w:hint="eastAsia"/>
        </w:rPr>
      </w:pPr>
      <w:r>
        <w:drawing>
          <wp:inline distT="0" distB="0" distL="114300" distR="114300">
            <wp:extent cx="5826760" cy="6615430"/>
            <wp:effectExtent l="0" t="0" r="2540" b="13970"/>
            <wp:docPr id="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pic:cNvPicPr>
                      <a:picLocks noChangeAspect="1"/>
                    </pic:cNvPicPr>
                  </pic:nvPicPr>
                  <pic:blipFill>
                    <a:blip r:embed="rId16"/>
                    <a:stretch>
                      <a:fillRect/>
                    </a:stretch>
                  </pic:blipFill>
                  <pic:spPr>
                    <a:xfrm>
                      <a:off x="0" y="0"/>
                      <a:ext cx="5826760" cy="6615430"/>
                    </a:xfrm>
                    <a:prstGeom prst="rect">
                      <a:avLst/>
                    </a:prstGeom>
                    <a:noFill/>
                    <a:ln>
                      <a:noFill/>
                    </a:ln>
                  </pic:spPr>
                </pic:pic>
              </a:graphicData>
            </a:graphic>
          </wp:inline>
        </w:drawing>
      </w:r>
    </w:p>
    <w:tbl>
      <w:tblPr>
        <w:tblStyle w:val="29"/>
        <w:tblpPr w:leftFromText="180" w:rightFromText="180" w:vertAnchor="text" w:horzAnchor="page" w:tblpX="1539" w:tblpY="349"/>
        <w:tblOverlap w:val="never"/>
        <w:tblW w:w="9180" w:type="dxa"/>
        <w:tblInd w:w="0" w:type="dxa"/>
        <w:tblLayout w:type="fixed"/>
        <w:tblCellMar>
          <w:top w:w="0" w:type="dxa"/>
          <w:left w:w="108" w:type="dxa"/>
          <w:bottom w:w="0" w:type="dxa"/>
          <w:right w:w="108" w:type="dxa"/>
        </w:tblCellMar>
      </w:tblPr>
      <w:tblGrid>
        <w:gridCol w:w="1242"/>
        <w:gridCol w:w="3261"/>
        <w:gridCol w:w="1134"/>
        <w:gridCol w:w="3543"/>
      </w:tblGrid>
      <w:tr>
        <w:tblPrEx>
          <w:tblCellMar>
            <w:top w:w="0" w:type="dxa"/>
            <w:left w:w="108" w:type="dxa"/>
            <w:bottom w:w="0" w:type="dxa"/>
            <w:right w:w="108" w:type="dxa"/>
          </w:tblCellMar>
        </w:tblPrEx>
        <w:tc>
          <w:tcPr>
            <w:tcW w:w="4503" w:type="dxa"/>
            <w:gridSpan w:val="2"/>
          </w:tcPr>
          <w:p>
            <w:pPr>
              <w:spacing w:line="360" w:lineRule="auto"/>
              <w:rPr>
                <w:rFonts w:hint="eastAsia" w:ascii="Times New Roman" w:hAnsi="Times New Roman" w:eastAsia="宋体" w:cs="Times New Roman"/>
                <w:color w:val="auto"/>
                <w:sz w:val="30"/>
                <w:szCs w:val="30"/>
                <w:lang w:eastAsia="zh-CN"/>
              </w:rPr>
            </w:pPr>
            <w:r>
              <w:rPr>
                <w:rFonts w:ascii="Times New Roman" w:hAnsi="Times New Roman" w:eastAsia="宋体" w:cs="Times New Roman"/>
                <w:color w:val="auto"/>
                <w:kern w:val="0"/>
                <w:sz w:val="30"/>
                <w:szCs w:val="30"/>
              </w:rPr>
              <w:t>建设单位：</w:t>
            </w:r>
            <w:r>
              <w:rPr>
                <w:rFonts w:hint="eastAsia" w:ascii="Times New Roman" w:hAnsi="Times New Roman" w:eastAsia="宋体" w:cs="Times New Roman"/>
                <w:color w:val="auto"/>
                <w:sz w:val="30"/>
                <w:szCs w:val="30"/>
                <w:lang w:eastAsia="zh-CN"/>
              </w:rPr>
              <w:t>合肥皖玻塑业有限公司</w:t>
            </w:r>
          </w:p>
        </w:tc>
        <w:tc>
          <w:tcPr>
            <w:tcW w:w="4677" w:type="dxa"/>
            <w:gridSpan w:val="2"/>
          </w:tcPr>
          <w:p>
            <w:pPr>
              <w:spacing w:line="360" w:lineRule="auto"/>
              <w:rPr>
                <w:rFonts w:hint="eastAsia"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项目</w:t>
            </w:r>
            <w:r>
              <w:rPr>
                <w:rFonts w:ascii="Times New Roman" w:hAnsi="Times New Roman" w:eastAsia="宋体" w:cs="Times New Roman"/>
                <w:color w:val="auto"/>
                <w:kern w:val="0"/>
                <w:sz w:val="30"/>
                <w:szCs w:val="30"/>
              </w:rPr>
              <w:t>编制单位：</w:t>
            </w:r>
            <w:r>
              <w:rPr>
                <w:rFonts w:hint="eastAsia" w:ascii="Times New Roman" w:hAnsi="Times New Roman" w:eastAsia="宋体" w:cs="Times New Roman"/>
                <w:color w:val="auto"/>
                <w:sz w:val="30"/>
                <w:szCs w:val="30"/>
                <w:lang w:eastAsia="zh-CN"/>
              </w:rPr>
              <w:t>合肥皖玻塑业有限公司</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电话：</w:t>
            </w:r>
          </w:p>
        </w:tc>
        <w:tc>
          <w:tcPr>
            <w:tcW w:w="3261" w:type="dxa"/>
          </w:tcPr>
          <w:p>
            <w:pPr>
              <w:spacing w:line="360" w:lineRule="auto"/>
              <w:jc w:val="left"/>
              <w:rPr>
                <w:rFonts w:ascii="Times New Roman" w:hAnsi="Times New Roman" w:eastAsia="宋体" w:cs="Times New Roman"/>
                <w:color w:val="auto"/>
                <w:kern w:val="0"/>
                <w:sz w:val="30"/>
                <w:szCs w:val="30"/>
              </w:rPr>
            </w:pPr>
            <w:r>
              <w:rPr>
                <w:rFonts w:hint="eastAsia" w:ascii="Times New Roman" w:hAnsi="Times New Roman" w:eastAsia="宋体" w:cs="Times New Roman"/>
                <w:kern w:val="0"/>
                <w:sz w:val="30"/>
                <w:szCs w:val="30"/>
                <w:lang w:val="en-US" w:eastAsia="zh-CN"/>
              </w:rPr>
              <w:t>15268815168</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电话：</w:t>
            </w:r>
          </w:p>
        </w:tc>
        <w:tc>
          <w:tcPr>
            <w:tcW w:w="3543" w:type="dxa"/>
            <w:vAlign w:val="top"/>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kern w:val="0"/>
                <w:sz w:val="30"/>
                <w:szCs w:val="30"/>
                <w:lang w:val="en-US" w:eastAsia="zh-CN"/>
              </w:rPr>
              <w:t>15268815168</w:t>
            </w:r>
          </w:p>
        </w:tc>
      </w:tr>
      <w:tr>
        <w:tblPrEx>
          <w:tblCellMar>
            <w:top w:w="0" w:type="dxa"/>
            <w:left w:w="108" w:type="dxa"/>
            <w:bottom w:w="0" w:type="dxa"/>
            <w:right w:w="108" w:type="dxa"/>
          </w:tblCellMar>
        </w:tblPrEx>
        <w:trPr>
          <w:trHeight w:val="90" w:hRule="atLeast"/>
        </w:trPr>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传真：</w:t>
            </w:r>
          </w:p>
        </w:tc>
        <w:tc>
          <w:tcPr>
            <w:tcW w:w="3261"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传真：</w:t>
            </w:r>
          </w:p>
        </w:tc>
        <w:tc>
          <w:tcPr>
            <w:tcW w:w="3543"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w:t>
            </w:r>
          </w:p>
        </w:tc>
      </w:tr>
      <w:tr>
        <w:tblPrEx>
          <w:tblCellMar>
            <w:top w:w="0" w:type="dxa"/>
            <w:left w:w="108" w:type="dxa"/>
            <w:bottom w:w="0" w:type="dxa"/>
            <w:right w:w="108" w:type="dxa"/>
          </w:tblCellMar>
        </w:tblPrEx>
        <w:tc>
          <w:tcPr>
            <w:tcW w:w="1242" w:type="dxa"/>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邮编：</w:t>
            </w:r>
          </w:p>
        </w:tc>
        <w:tc>
          <w:tcPr>
            <w:tcW w:w="3261" w:type="dxa"/>
            <w:vAlign w:val="center"/>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231151</w:t>
            </w:r>
          </w:p>
        </w:tc>
        <w:tc>
          <w:tcPr>
            <w:tcW w:w="1134" w:type="dxa"/>
          </w:tcPr>
          <w:p>
            <w:pPr>
              <w:spacing w:line="360" w:lineRule="auto"/>
              <w:jc w:val="left"/>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邮编：</w:t>
            </w:r>
          </w:p>
        </w:tc>
        <w:tc>
          <w:tcPr>
            <w:tcW w:w="3543" w:type="dxa"/>
          </w:tcPr>
          <w:p>
            <w:pPr>
              <w:spacing w:line="360" w:lineRule="auto"/>
              <w:jc w:val="left"/>
              <w:rPr>
                <w:rFonts w:hint="default" w:ascii="Times New Roman" w:hAnsi="Times New Roman" w:eastAsia="宋体" w:cs="Times New Roman"/>
                <w:color w:val="auto"/>
                <w:kern w:val="0"/>
                <w:sz w:val="30"/>
                <w:szCs w:val="30"/>
                <w:lang w:val="en-US" w:eastAsia="zh-CN"/>
              </w:rPr>
            </w:pPr>
            <w:r>
              <w:rPr>
                <w:rFonts w:hint="eastAsia" w:ascii="Times New Roman" w:hAnsi="Times New Roman" w:eastAsia="宋体" w:cs="Times New Roman"/>
                <w:color w:val="auto"/>
                <w:kern w:val="0"/>
                <w:sz w:val="30"/>
                <w:szCs w:val="30"/>
                <w:lang w:val="en-US" w:eastAsia="zh-CN"/>
              </w:rPr>
              <w:t>231151</w:t>
            </w:r>
          </w:p>
        </w:tc>
      </w:tr>
      <w:tr>
        <w:tblPrEx>
          <w:tblCellMar>
            <w:top w:w="0" w:type="dxa"/>
            <w:left w:w="108" w:type="dxa"/>
            <w:bottom w:w="0" w:type="dxa"/>
            <w:right w:w="108" w:type="dxa"/>
          </w:tblCellMar>
        </w:tblPrEx>
        <w:tc>
          <w:tcPr>
            <w:tcW w:w="1242" w:type="dxa"/>
            <w:vAlign w:val="center"/>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地址：</w:t>
            </w:r>
          </w:p>
        </w:tc>
        <w:tc>
          <w:tcPr>
            <w:tcW w:w="3261" w:type="dxa"/>
            <w:vAlign w:val="center"/>
          </w:tcPr>
          <w:p>
            <w:pPr>
              <w:spacing w:line="360" w:lineRule="auto"/>
              <w:rPr>
                <w:rFonts w:ascii="Times New Roman" w:hAnsi="Times New Roman" w:eastAsia="宋体" w:cs="Times New Roman"/>
                <w:color w:val="auto"/>
                <w:kern w:val="0"/>
                <w:sz w:val="30"/>
                <w:szCs w:val="30"/>
              </w:rPr>
            </w:pPr>
            <w:r>
              <w:rPr>
                <w:rFonts w:hint="eastAsia" w:ascii="Times New Roman" w:hAnsi="Times New Roman" w:eastAsia="宋体" w:cs="Times New Roman"/>
                <w:kern w:val="0"/>
                <w:sz w:val="30"/>
                <w:szCs w:val="30"/>
              </w:rPr>
              <w:t>合肥市长丰县庄墓镇合淮路东侧</w:t>
            </w:r>
          </w:p>
        </w:tc>
        <w:tc>
          <w:tcPr>
            <w:tcW w:w="1134" w:type="dxa"/>
            <w:vAlign w:val="center"/>
          </w:tcPr>
          <w:p>
            <w:pPr>
              <w:spacing w:line="360" w:lineRule="auto"/>
              <w:rPr>
                <w:rFonts w:ascii="Times New Roman" w:hAnsi="Times New Roman" w:eastAsia="宋体" w:cs="Times New Roman"/>
                <w:color w:val="auto"/>
                <w:kern w:val="0"/>
                <w:sz w:val="30"/>
                <w:szCs w:val="30"/>
              </w:rPr>
            </w:pPr>
            <w:r>
              <w:rPr>
                <w:rFonts w:ascii="Times New Roman" w:hAnsi="Times New Roman" w:eastAsia="宋体" w:cs="Times New Roman"/>
                <w:color w:val="auto"/>
                <w:kern w:val="0"/>
                <w:sz w:val="30"/>
                <w:szCs w:val="30"/>
              </w:rPr>
              <w:t>地址：</w:t>
            </w:r>
          </w:p>
        </w:tc>
        <w:tc>
          <w:tcPr>
            <w:tcW w:w="3543" w:type="dxa"/>
            <w:vAlign w:val="center"/>
          </w:tcPr>
          <w:p>
            <w:pPr>
              <w:spacing w:line="360" w:lineRule="auto"/>
              <w:rPr>
                <w:rFonts w:ascii="Times New Roman" w:hAnsi="Times New Roman" w:eastAsia="宋体" w:cs="Times New Roman"/>
                <w:color w:val="auto"/>
                <w:kern w:val="0"/>
                <w:sz w:val="30"/>
                <w:szCs w:val="30"/>
              </w:rPr>
            </w:pPr>
            <w:r>
              <w:rPr>
                <w:rFonts w:hint="eastAsia" w:ascii="Times New Roman" w:hAnsi="Times New Roman" w:eastAsia="宋体" w:cs="Times New Roman"/>
                <w:kern w:val="0"/>
                <w:sz w:val="30"/>
                <w:szCs w:val="30"/>
              </w:rPr>
              <w:t>合肥市长丰县庄墓镇合淮路东侧</w:t>
            </w:r>
          </w:p>
        </w:tc>
      </w:tr>
    </w:tbl>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rPr>
          <w:rFonts w:hint="eastAsia" w:eastAsia="宋体"/>
          <w:lang w:eastAsia="zh-CN"/>
        </w:rPr>
      </w:pPr>
    </w:p>
    <w:p>
      <w:pPr>
        <w:pStyle w:val="2"/>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28"/>
          <w:szCs w:val="28"/>
        </w:rPr>
      </w:pPr>
    </w:p>
    <w:p>
      <w:pPr>
        <w:spacing w:line="360" w:lineRule="auto"/>
        <w:rPr>
          <w:rFonts w:ascii="Times New Roman" w:hAnsi="Times New Roman" w:eastAsia="宋体" w:cs="Times New Roman"/>
          <w:color w:val="auto"/>
          <w:sz w:val="30"/>
          <w:szCs w:val="30"/>
        </w:rPr>
      </w:pPr>
    </w:p>
    <w:p>
      <w:pPr>
        <w:spacing w:line="360" w:lineRule="auto"/>
        <w:jc w:val="left"/>
        <w:rPr>
          <w:rFonts w:ascii="Times New Roman" w:hAnsi="Times New Roman" w:eastAsia="宋体" w:cs="Times New Roman"/>
          <w:color w:val="auto"/>
        </w:rPr>
      </w:pPr>
    </w:p>
    <w:p>
      <w:pPr>
        <w:pStyle w:val="69"/>
        <w:tabs>
          <w:tab w:val="left" w:pos="772"/>
          <w:tab w:val="center" w:pos="4156"/>
        </w:tabs>
        <w:spacing w:before="156" w:after="156" w:line="380" w:lineRule="exact"/>
        <w:rPr>
          <w:rFonts w:ascii="Times New Roman" w:hAnsi="Times New Roman" w:eastAsia="宋体" w:cs="Times New Roman"/>
          <w:color w:val="auto"/>
          <w:kern w:val="2"/>
          <w:sz w:val="21"/>
          <w:szCs w:val="22"/>
          <w:lang w:val="zh-CN"/>
        </w:rPr>
        <w:sectPr>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sdt>
      <w:sdtPr>
        <w:rPr>
          <w:rFonts w:ascii="Times New Roman" w:hAnsi="Times New Roman" w:eastAsia="宋体" w:cs="Times New Roman"/>
          <w:color w:val="auto"/>
          <w:kern w:val="2"/>
          <w:sz w:val="21"/>
          <w:szCs w:val="22"/>
          <w:lang w:val="zh-CN"/>
        </w:rPr>
        <w:id w:val="-1328978898"/>
        <w:docPartObj>
          <w:docPartGallery w:val="Table of Contents"/>
          <w:docPartUnique/>
        </w:docPartObj>
      </w:sdtPr>
      <w:sdtEndPr>
        <w:rPr>
          <w:rFonts w:ascii="Times New Roman" w:hAnsi="Times New Roman" w:eastAsia="宋体" w:cs="Times New Roman"/>
          <w:b/>
          <w:bCs/>
          <w:color w:val="auto"/>
          <w:kern w:val="2"/>
          <w:sz w:val="21"/>
          <w:szCs w:val="22"/>
          <w:lang w:val="zh-CN"/>
        </w:rPr>
      </w:sdtEndPr>
      <w:sdtContent>
        <w:p>
          <w:pPr>
            <w:pStyle w:val="69"/>
            <w:tabs>
              <w:tab w:val="left" w:pos="772"/>
              <w:tab w:val="center" w:pos="4156"/>
            </w:tabs>
            <w:spacing w:before="156" w:after="156" w:line="380" w:lineRule="exact"/>
            <w:rPr>
              <w:rFonts w:ascii="Times New Roman" w:hAnsi="Times New Roman" w:eastAsia="宋体" w:cs="Times New Roman"/>
              <w:color w:val="auto"/>
              <w:sz w:val="24"/>
              <w:szCs w:val="24"/>
            </w:rPr>
          </w:pPr>
          <w:r>
            <w:rPr>
              <w:rFonts w:ascii="Times New Roman" w:hAnsi="Times New Roman" w:eastAsia="宋体" w:cs="Times New Roman"/>
              <w:color w:val="auto"/>
              <w:kern w:val="2"/>
              <w:sz w:val="24"/>
              <w:szCs w:val="24"/>
              <w:lang w:val="zh-CN"/>
            </w:rPr>
            <w:tab/>
          </w:r>
          <w:r>
            <w:rPr>
              <w:rFonts w:ascii="Times New Roman" w:hAnsi="Times New Roman" w:eastAsia="宋体" w:cs="Times New Roman"/>
              <w:color w:val="auto"/>
              <w:kern w:val="2"/>
              <w:sz w:val="24"/>
              <w:szCs w:val="24"/>
              <w:lang w:val="zh-CN"/>
            </w:rPr>
            <w:tab/>
          </w:r>
          <w:r>
            <w:rPr>
              <w:rFonts w:ascii="Times New Roman" w:hAnsi="Times New Roman" w:eastAsia="宋体" w:cs="Times New Roman"/>
              <w:b/>
              <w:color w:val="auto"/>
              <w:lang w:val="zh-CN"/>
            </w:rPr>
            <w:t>目录</w:t>
          </w:r>
        </w:p>
        <w:p>
          <w:pPr>
            <w:pStyle w:val="19"/>
            <w:tabs>
              <w:tab w:val="right" w:leader="dot" w:pos="9184"/>
            </w:tabs>
          </w:pPr>
          <w:r>
            <w:rPr>
              <w:rFonts w:ascii="Times New Roman" w:hAnsi="Times New Roman" w:eastAsia="宋体" w:cs="Times New Roman"/>
              <w:color w:val="auto"/>
              <w:sz w:val="28"/>
              <w:szCs w:val="28"/>
            </w:rPr>
            <w:fldChar w:fldCharType="begin"/>
          </w:r>
          <w:r>
            <w:rPr>
              <w:rFonts w:ascii="Times New Roman" w:hAnsi="Times New Roman" w:eastAsia="宋体" w:cs="Times New Roman"/>
              <w:color w:val="auto"/>
              <w:sz w:val="28"/>
              <w:szCs w:val="28"/>
            </w:rPr>
            <w:instrText xml:space="preserve"> TOC \o "1-3" \h \z \u </w:instrText>
          </w:r>
          <w:r>
            <w:rPr>
              <w:rFonts w:ascii="Times New Roman" w:hAnsi="Times New Roman" w:eastAsia="宋体" w:cs="Times New Roman"/>
              <w:color w:val="auto"/>
              <w:sz w:val="28"/>
              <w:szCs w:val="28"/>
            </w:rPr>
            <w:fldChar w:fldCharType="separate"/>
          </w:r>
          <w:r>
            <w:rPr>
              <w:rFonts w:ascii="Times New Roman" w:hAnsi="Times New Roman" w:eastAsia="宋体" w:cs="Times New Roman"/>
              <w:color w:val="auto"/>
              <w:szCs w:val="28"/>
            </w:rPr>
            <w:fldChar w:fldCharType="begin"/>
          </w:r>
          <w:r>
            <w:rPr>
              <w:rFonts w:ascii="Times New Roman" w:hAnsi="Times New Roman" w:eastAsia="宋体" w:cs="Times New Roman"/>
              <w:szCs w:val="28"/>
            </w:rPr>
            <w:instrText xml:space="preserve"> HYPERLINK \l _Toc18259 </w:instrText>
          </w:r>
          <w:r>
            <w:rPr>
              <w:rFonts w:ascii="Times New Roman" w:hAnsi="Times New Roman" w:eastAsia="宋体" w:cs="Times New Roman"/>
              <w:szCs w:val="28"/>
            </w:rPr>
            <w:fldChar w:fldCharType="separate"/>
          </w:r>
          <w:r>
            <w:rPr>
              <w:rFonts w:ascii="Times New Roman" w:hAnsi="Times New Roman" w:eastAsia="宋体"/>
            </w:rPr>
            <w:t>一、</w:t>
          </w:r>
          <w:r>
            <w:rPr>
              <w:rFonts w:hint="eastAsia" w:ascii="Times New Roman" w:hAnsi="Times New Roman" w:eastAsia="宋体"/>
            </w:rPr>
            <w:t>前言</w:t>
          </w:r>
          <w:r>
            <w:tab/>
          </w:r>
          <w:r>
            <w:fldChar w:fldCharType="begin"/>
          </w:r>
          <w:r>
            <w:instrText xml:space="preserve"> PAGEREF _Toc18259 \h </w:instrText>
          </w:r>
          <w:r>
            <w:fldChar w:fldCharType="separate"/>
          </w:r>
          <w:r>
            <w:t>1</w:t>
          </w:r>
          <w:r>
            <w:fldChar w:fldCharType="end"/>
          </w:r>
          <w:r>
            <w:rPr>
              <w:rFonts w:ascii="Times New Roman" w:hAnsi="Times New Roman" w:eastAsia="宋体" w:cs="Times New Roman"/>
              <w:color w:val="auto"/>
              <w:szCs w:val="28"/>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_Toc17965 </w:instrText>
          </w:r>
          <w:r>
            <w:rPr>
              <w:rFonts w:ascii="Times New Roman" w:hAnsi="Times New Roman" w:eastAsia="宋体" w:cs="Times New Roman"/>
              <w:bCs/>
              <w:szCs w:val="28"/>
              <w:lang w:val="zh-CN"/>
            </w:rPr>
            <w:fldChar w:fldCharType="separate"/>
          </w:r>
          <w:r>
            <w:rPr>
              <w:rFonts w:hint="eastAsia" w:ascii="Times New Roman" w:hAnsi="Times New Roman" w:eastAsia="宋体"/>
            </w:rPr>
            <w:t>二、验收依据</w:t>
          </w:r>
          <w:r>
            <w:tab/>
          </w:r>
          <w:r>
            <w:fldChar w:fldCharType="begin"/>
          </w:r>
          <w:r>
            <w:instrText xml:space="preserve"> PAGEREF _Toc17965 \h </w:instrText>
          </w:r>
          <w:r>
            <w:fldChar w:fldCharType="separate"/>
          </w:r>
          <w:r>
            <w:t>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_Toc6701 </w:instrText>
          </w:r>
          <w:r>
            <w:rPr>
              <w:rFonts w:ascii="Times New Roman" w:hAnsi="Times New Roman" w:eastAsia="宋体" w:cs="Times New Roman"/>
              <w:bCs/>
              <w:szCs w:val="28"/>
              <w:lang w:val="zh-CN"/>
            </w:rPr>
            <w:fldChar w:fldCharType="separate"/>
          </w:r>
          <w:r>
            <w:rPr>
              <w:rFonts w:hint="eastAsia" w:ascii="Times New Roman" w:hAnsi="Times New Roman" w:eastAsia="宋体"/>
            </w:rPr>
            <w:t>2.1建设项目环境保护相关法律、法规和规章制度</w:t>
          </w:r>
          <w:r>
            <w:tab/>
          </w:r>
          <w:r>
            <w:fldChar w:fldCharType="begin"/>
          </w:r>
          <w:r>
            <w:instrText xml:space="preserve"> PAGEREF _Toc6701 \h </w:instrText>
          </w:r>
          <w:r>
            <w:fldChar w:fldCharType="separate"/>
          </w:r>
          <w:r>
            <w:t>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_Toc3639 </w:instrText>
          </w:r>
          <w:r>
            <w:rPr>
              <w:rFonts w:ascii="Times New Roman" w:hAnsi="Times New Roman" w:eastAsia="宋体" w:cs="Times New Roman"/>
              <w:bCs/>
              <w:szCs w:val="28"/>
              <w:lang w:val="zh-CN"/>
            </w:rPr>
            <w:fldChar w:fldCharType="separate"/>
          </w:r>
          <w:r>
            <w:rPr>
              <w:rFonts w:hint="eastAsia" w:ascii="Times New Roman" w:hAnsi="Times New Roman" w:eastAsia="宋体"/>
            </w:rPr>
            <w:t>2.2</w:t>
          </w:r>
          <w:r>
            <w:rPr>
              <w:rFonts w:ascii="Times New Roman" w:hAnsi="Times New Roman" w:eastAsia="宋体"/>
            </w:rPr>
            <w:t>建设项目竣工环境保护验收技术规范</w:t>
          </w:r>
          <w:r>
            <w:tab/>
          </w:r>
          <w:r>
            <w:fldChar w:fldCharType="begin"/>
          </w:r>
          <w:r>
            <w:instrText xml:space="preserve"> PAGEREF _Toc3639 \h </w:instrText>
          </w:r>
          <w:r>
            <w:fldChar w:fldCharType="separate"/>
          </w:r>
          <w:r>
            <w:t>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_Toc31980 </w:instrText>
          </w:r>
          <w:r>
            <w:rPr>
              <w:rFonts w:ascii="Times New Roman" w:hAnsi="Times New Roman" w:eastAsia="宋体" w:cs="Times New Roman"/>
              <w:bCs/>
              <w:szCs w:val="28"/>
              <w:lang w:val="zh-CN"/>
            </w:rPr>
            <w:fldChar w:fldCharType="separate"/>
          </w:r>
          <w:r>
            <w:rPr>
              <w:rFonts w:hint="eastAsia" w:ascii="Times New Roman" w:hAnsi="Times New Roman" w:eastAsia="宋体"/>
            </w:rPr>
            <w:t>2.3</w:t>
          </w:r>
          <w:r>
            <w:rPr>
              <w:rFonts w:ascii="Times New Roman" w:hAnsi="Times New Roman" w:eastAsia="宋体"/>
            </w:rPr>
            <w:t>建设项目</w:t>
          </w:r>
          <w:r>
            <w:rPr>
              <w:rFonts w:hint="eastAsia" w:ascii="Times New Roman" w:hAnsi="Times New Roman" w:eastAsia="宋体"/>
            </w:rPr>
            <w:t>环境影响报告书及其批复部门批复决定</w:t>
          </w:r>
          <w:r>
            <w:tab/>
          </w:r>
          <w:r>
            <w:fldChar w:fldCharType="begin"/>
          </w:r>
          <w:r>
            <w:instrText xml:space="preserve"> PAGEREF _Toc31980 \h </w:instrText>
          </w:r>
          <w:r>
            <w:fldChar w:fldCharType="separate"/>
          </w:r>
          <w:r>
            <w:t>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_Toc16262 </w:instrText>
          </w:r>
          <w:r>
            <w:rPr>
              <w:rFonts w:ascii="Times New Roman" w:hAnsi="Times New Roman" w:eastAsia="宋体" w:cs="Times New Roman"/>
              <w:bCs/>
              <w:szCs w:val="28"/>
              <w:lang w:val="zh-CN"/>
            </w:rPr>
            <w:fldChar w:fldCharType="separate"/>
          </w:r>
          <w:r>
            <w:rPr>
              <w:rFonts w:hint="eastAsia" w:ascii="Times New Roman" w:hAnsi="Times New Roman" w:eastAsia="宋体"/>
            </w:rPr>
            <w:t>2.4</w:t>
          </w:r>
          <w:r>
            <w:rPr>
              <w:rFonts w:hint="eastAsia" w:ascii="Times New Roman" w:hAnsi="Times New Roman" w:eastAsia="宋体"/>
              <w:lang w:val="en-US" w:eastAsia="zh-CN"/>
            </w:rPr>
            <w:t>相关评价</w:t>
          </w:r>
          <w:r>
            <w:rPr>
              <w:rFonts w:hint="eastAsia" w:ascii="Times New Roman" w:hAnsi="Times New Roman" w:eastAsia="宋体"/>
              <w:highlight w:val="none"/>
              <w:lang w:val="en-US" w:eastAsia="zh-CN"/>
            </w:rPr>
            <w:t>标准</w:t>
          </w:r>
          <w:r>
            <w:tab/>
          </w:r>
          <w:r>
            <w:fldChar w:fldCharType="begin"/>
          </w:r>
          <w:r>
            <w:instrText xml:space="preserve"> PAGEREF _Toc16262 \h </w:instrText>
          </w:r>
          <w:r>
            <w:fldChar w:fldCharType="separate"/>
          </w:r>
          <w:r>
            <w:t>3</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_Toc15866 </w:instrText>
          </w:r>
          <w:r>
            <w:rPr>
              <w:rFonts w:ascii="Times New Roman" w:hAnsi="Times New Roman" w:eastAsia="宋体" w:cs="Times New Roman"/>
              <w:bCs/>
              <w:szCs w:val="28"/>
              <w:lang w:val="zh-CN"/>
            </w:rPr>
            <w:fldChar w:fldCharType="separate"/>
          </w:r>
          <w:r>
            <w:rPr>
              <w:rFonts w:hint="eastAsia" w:ascii="Times New Roman" w:hAnsi="Times New Roman" w:eastAsia="宋体"/>
            </w:rPr>
            <w:t>三、工程建设情况</w:t>
          </w:r>
          <w:r>
            <w:tab/>
          </w:r>
          <w:r>
            <w:fldChar w:fldCharType="begin"/>
          </w:r>
          <w:r>
            <w:instrText xml:space="preserve"> PAGEREF _Toc15866 \h </w:instrText>
          </w:r>
          <w:r>
            <w:fldChar w:fldCharType="separate"/>
          </w:r>
          <w:r>
            <w:t>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_Toc22661 </w:instrText>
          </w:r>
          <w:r>
            <w:rPr>
              <w:rFonts w:ascii="Times New Roman" w:hAnsi="Times New Roman" w:eastAsia="宋体" w:cs="Times New Roman"/>
              <w:bCs/>
              <w:szCs w:val="28"/>
              <w:lang w:val="zh-CN"/>
            </w:rPr>
            <w:fldChar w:fldCharType="separate"/>
          </w:r>
          <w:r>
            <w:rPr>
              <w:rFonts w:ascii="Times New Roman" w:hAnsi="Times New Roman" w:eastAsia="宋体"/>
            </w:rPr>
            <w:t>3.1</w:t>
          </w:r>
          <w:r>
            <w:rPr>
              <w:rFonts w:hint="eastAsia" w:ascii="Times New Roman" w:hAnsi="Times New Roman" w:eastAsia="宋体"/>
            </w:rPr>
            <w:t>地理位置及平面布置</w:t>
          </w:r>
          <w:r>
            <w:tab/>
          </w:r>
          <w:r>
            <w:fldChar w:fldCharType="begin"/>
          </w:r>
          <w:r>
            <w:instrText xml:space="preserve"> PAGEREF _Toc22661 \h </w:instrText>
          </w:r>
          <w:r>
            <w:fldChar w:fldCharType="separate"/>
          </w:r>
          <w:r>
            <w:t>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_Toc19738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2</w:t>
          </w:r>
          <w:r>
            <w:rPr>
              <w:rFonts w:hint="eastAsia" w:ascii="Times New Roman" w:hAnsi="Times New Roman" w:eastAsia="宋体"/>
              <w:lang w:eastAsia="zh-CN"/>
            </w:rPr>
            <w:t>本项目建设内容</w:t>
          </w:r>
          <w:r>
            <w:tab/>
          </w:r>
          <w:r>
            <w:fldChar w:fldCharType="begin"/>
          </w:r>
          <w:r>
            <w:instrText xml:space="preserve"> PAGEREF _Toc19738 \h </w:instrText>
          </w:r>
          <w:r>
            <w:fldChar w:fldCharType="separate"/>
          </w:r>
          <w:r>
            <w:t>9</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_Toc20715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3</w:t>
          </w:r>
          <w:r>
            <w:rPr>
              <w:rFonts w:hint="eastAsia" w:ascii="Times New Roman" w:hAnsi="Times New Roman" w:eastAsia="宋体"/>
              <w:lang w:eastAsia="zh-CN"/>
            </w:rPr>
            <w:t>产品方案、主要原辅材料及设备</w:t>
          </w:r>
          <w:r>
            <w:tab/>
          </w:r>
          <w:r>
            <w:fldChar w:fldCharType="begin"/>
          </w:r>
          <w:r>
            <w:instrText xml:space="preserve"> PAGEREF _Toc20715 \h </w:instrText>
          </w:r>
          <w:r>
            <w:fldChar w:fldCharType="separate"/>
          </w:r>
          <w:r>
            <w:t>13</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_Toc22076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3.3.1产品方案</w:t>
          </w:r>
          <w:r>
            <w:tab/>
          </w:r>
          <w:r>
            <w:fldChar w:fldCharType="begin"/>
          </w:r>
          <w:r>
            <w:instrText xml:space="preserve"> PAGEREF _Toc22076 \h </w:instrText>
          </w:r>
          <w:r>
            <w:fldChar w:fldCharType="separate"/>
          </w:r>
          <w:r>
            <w:t>13</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_Toc13229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3.3.2主要原辅料及用量</w:t>
          </w:r>
          <w:r>
            <w:tab/>
          </w:r>
          <w:r>
            <w:fldChar w:fldCharType="begin"/>
          </w:r>
          <w:r>
            <w:instrText xml:space="preserve"> PAGEREF _Toc13229 \h </w:instrText>
          </w:r>
          <w:r>
            <w:fldChar w:fldCharType="separate"/>
          </w:r>
          <w:r>
            <w:t>13</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_Toc13342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3.3.3主要生产设备</w:t>
          </w:r>
          <w:r>
            <w:tab/>
          </w:r>
          <w:r>
            <w:fldChar w:fldCharType="begin"/>
          </w:r>
          <w:r>
            <w:instrText xml:space="preserve"> PAGEREF _Toc13342 \h </w:instrText>
          </w:r>
          <w:r>
            <w:fldChar w:fldCharType="separate"/>
          </w:r>
          <w:r>
            <w:t>13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_Toc1450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ascii="Times New Roman" w:hAnsi="Times New Roman" w:eastAsia="宋体"/>
            </w:rPr>
            <w:t>.</w:t>
          </w:r>
          <w:r>
            <w:rPr>
              <w:rFonts w:hint="eastAsia" w:ascii="Times New Roman" w:hAnsi="Times New Roman" w:eastAsia="宋体"/>
              <w:lang w:val="en-US" w:eastAsia="zh-CN"/>
            </w:rPr>
            <w:t>4</w:t>
          </w:r>
          <w:r>
            <w:rPr>
              <w:rFonts w:hint="eastAsia" w:ascii="Times New Roman" w:hAnsi="Times New Roman" w:eastAsia="宋体"/>
            </w:rPr>
            <w:t>水源及水平衡</w:t>
          </w:r>
          <w:r>
            <w:tab/>
          </w:r>
          <w:r>
            <w:fldChar w:fldCharType="begin"/>
          </w:r>
          <w:r>
            <w:instrText xml:space="preserve"> PAGEREF _Toc1450 \h </w:instrText>
          </w:r>
          <w:r>
            <w:fldChar w:fldCharType="separate"/>
          </w:r>
          <w:r>
            <w:t>14</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_Toc216 </w:instrText>
          </w:r>
          <w:r>
            <w:rPr>
              <w:rFonts w:ascii="Times New Roman" w:hAnsi="Times New Roman" w:eastAsia="宋体" w:cs="Times New Roman"/>
              <w:bCs/>
              <w:szCs w:val="28"/>
              <w:lang w:val="zh-CN"/>
            </w:rPr>
            <w:fldChar w:fldCharType="separate"/>
          </w:r>
          <w:r>
            <w:rPr>
              <w:rFonts w:ascii="Times New Roman" w:hAnsi="Times New Roman" w:eastAsia="宋体"/>
            </w:rPr>
            <w:t>3.</w:t>
          </w:r>
          <w:r>
            <w:rPr>
              <w:rFonts w:hint="eastAsia" w:ascii="Times New Roman" w:hAnsi="Times New Roman" w:eastAsia="宋体"/>
              <w:lang w:val="en-US" w:eastAsia="zh-CN"/>
            </w:rPr>
            <w:t>5主要</w:t>
          </w:r>
          <w:r>
            <w:rPr>
              <w:rFonts w:ascii="Times New Roman" w:hAnsi="Times New Roman" w:eastAsia="宋体"/>
            </w:rPr>
            <w:t>生产工艺</w:t>
          </w:r>
          <w:r>
            <w:tab/>
          </w:r>
          <w:r>
            <w:fldChar w:fldCharType="begin"/>
          </w:r>
          <w:r>
            <w:instrText xml:space="preserve"> PAGEREF _Toc216 \h </w:instrText>
          </w:r>
          <w:r>
            <w:fldChar w:fldCharType="separate"/>
          </w:r>
          <w:r>
            <w:t>15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_Toc18057 </w:instrText>
          </w:r>
          <w:r>
            <w:rPr>
              <w:rFonts w:ascii="Times New Roman" w:hAnsi="Times New Roman" w:eastAsia="宋体" w:cs="Times New Roman"/>
              <w:bCs/>
              <w:szCs w:val="28"/>
              <w:lang w:val="zh-CN"/>
            </w:rPr>
            <w:fldChar w:fldCharType="separate"/>
          </w:r>
          <w:r>
            <w:rPr>
              <w:rFonts w:hint="eastAsia" w:ascii="Times New Roman" w:hAnsi="Times New Roman" w:eastAsia="宋体"/>
            </w:rPr>
            <w:t>3.</w:t>
          </w:r>
          <w:r>
            <w:rPr>
              <w:rFonts w:hint="eastAsia" w:ascii="Times New Roman" w:hAnsi="Times New Roman" w:eastAsia="宋体"/>
              <w:lang w:val="en-US" w:eastAsia="zh-CN"/>
            </w:rPr>
            <w:t>6</w:t>
          </w:r>
          <w:r>
            <w:rPr>
              <w:rFonts w:hint="eastAsia" w:ascii="Times New Roman" w:hAnsi="Times New Roman" w:eastAsia="宋体"/>
            </w:rPr>
            <w:t>项目变动情况</w:t>
          </w:r>
          <w:r>
            <w:tab/>
          </w:r>
          <w:r>
            <w:fldChar w:fldCharType="begin"/>
          </w:r>
          <w:r>
            <w:instrText xml:space="preserve"> PAGEREF _Toc18057 \h </w:instrText>
          </w:r>
          <w:r>
            <w:fldChar w:fldCharType="separate"/>
          </w:r>
          <w:r>
            <w:t>17</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_Toc31671 </w:instrText>
          </w:r>
          <w:r>
            <w:rPr>
              <w:rFonts w:ascii="Times New Roman" w:hAnsi="Times New Roman" w:eastAsia="宋体" w:cs="Times New Roman"/>
              <w:bCs/>
              <w:szCs w:val="28"/>
              <w:lang w:val="zh-CN"/>
            </w:rPr>
            <w:fldChar w:fldCharType="separate"/>
          </w:r>
          <w:r>
            <w:rPr>
              <w:rFonts w:ascii="Times New Roman" w:hAnsi="Times New Roman" w:eastAsia="宋体"/>
            </w:rPr>
            <w:t>四、环境保护设施</w:t>
          </w:r>
          <w:r>
            <w:tab/>
          </w:r>
          <w:r>
            <w:fldChar w:fldCharType="begin"/>
          </w:r>
          <w:r>
            <w:instrText xml:space="preserve"> PAGEREF _Toc31671 \h </w:instrText>
          </w:r>
          <w:r>
            <w:fldChar w:fldCharType="separate"/>
          </w:r>
          <w:r>
            <w:t>20</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_Toc1434 </w:instrText>
          </w:r>
          <w:r>
            <w:rPr>
              <w:rFonts w:ascii="Times New Roman" w:hAnsi="Times New Roman" w:eastAsia="宋体" w:cs="Times New Roman"/>
              <w:bCs/>
              <w:szCs w:val="28"/>
              <w:lang w:val="zh-CN"/>
            </w:rPr>
            <w:fldChar w:fldCharType="separate"/>
          </w:r>
          <w:r>
            <w:rPr>
              <w:rFonts w:ascii="Times New Roman" w:hAnsi="Times New Roman" w:eastAsia="宋体"/>
              <w:szCs w:val="24"/>
            </w:rPr>
            <w:t>4.</w:t>
          </w:r>
          <w:r>
            <w:rPr>
              <w:rFonts w:hint="eastAsia" w:ascii="Times New Roman" w:hAnsi="Times New Roman" w:eastAsia="宋体"/>
              <w:szCs w:val="24"/>
              <w:lang w:val="en-US" w:eastAsia="zh-CN"/>
            </w:rPr>
            <w:t>1</w:t>
          </w:r>
          <w:r>
            <w:rPr>
              <w:rFonts w:ascii="Times New Roman" w:hAnsi="Times New Roman" w:eastAsia="宋体"/>
              <w:szCs w:val="24"/>
            </w:rPr>
            <w:t>.</w:t>
          </w:r>
          <w:r>
            <w:rPr>
              <w:rFonts w:hint="eastAsia" w:ascii="Times New Roman" w:hAnsi="Times New Roman" w:eastAsia="宋体"/>
              <w:szCs w:val="24"/>
              <w:lang w:val="en-US" w:eastAsia="zh-CN"/>
            </w:rPr>
            <w:t>1</w:t>
          </w:r>
          <w:r>
            <w:rPr>
              <w:rFonts w:hint="eastAsia" w:ascii="Times New Roman" w:hAnsi="Times New Roman" w:eastAsia="宋体"/>
              <w:szCs w:val="24"/>
            </w:rPr>
            <w:t>废</w:t>
          </w:r>
          <w:r>
            <w:rPr>
              <w:rFonts w:hint="eastAsia" w:ascii="Times New Roman" w:hAnsi="Times New Roman" w:eastAsia="宋体"/>
              <w:szCs w:val="24"/>
              <w:lang w:eastAsia="zh-CN"/>
            </w:rPr>
            <w:t>水</w:t>
          </w:r>
          <w:r>
            <w:tab/>
          </w:r>
          <w:r>
            <w:fldChar w:fldCharType="begin"/>
          </w:r>
          <w:r>
            <w:instrText xml:space="preserve"> PAGEREF _Toc1434 \h </w:instrText>
          </w:r>
          <w:r>
            <w:fldChar w:fldCharType="separate"/>
          </w:r>
          <w:r>
            <w:t>20</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_Toc30493 </w:instrText>
          </w:r>
          <w:r>
            <w:rPr>
              <w:rFonts w:ascii="Times New Roman" w:hAnsi="Times New Roman" w:eastAsia="宋体" w:cs="Times New Roman"/>
              <w:bCs/>
              <w:szCs w:val="28"/>
              <w:lang w:val="zh-CN"/>
            </w:rPr>
            <w:fldChar w:fldCharType="separate"/>
          </w:r>
          <w:r>
            <w:rPr>
              <w:rFonts w:hint="eastAsia" w:ascii="Times New Roman" w:hAnsi="Times New Roman" w:eastAsia="宋体" w:cs="宋体"/>
              <w:bCs/>
              <w:szCs w:val="28"/>
              <w:lang w:val="en-US" w:eastAsia="zh-CN"/>
            </w:rPr>
            <w:t>4.1.2废气</w:t>
          </w:r>
          <w:r>
            <w:tab/>
          </w:r>
          <w:r>
            <w:fldChar w:fldCharType="begin"/>
          </w:r>
          <w:r>
            <w:instrText xml:space="preserve"> PAGEREF _Toc30493 \h </w:instrText>
          </w:r>
          <w:r>
            <w:fldChar w:fldCharType="separate"/>
          </w:r>
          <w:r>
            <w:t>20</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_Toc4799 </w:instrText>
          </w:r>
          <w:r>
            <w:rPr>
              <w:rFonts w:ascii="Times New Roman" w:hAnsi="Times New Roman" w:eastAsia="宋体" w:cs="Times New Roman"/>
              <w:bCs/>
              <w:szCs w:val="28"/>
              <w:lang w:val="zh-CN"/>
            </w:rPr>
            <w:fldChar w:fldCharType="separate"/>
          </w:r>
          <w:r>
            <w:rPr>
              <w:rFonts w:ascii="Times New Roman" w:hAnsi="Times New Roman" w:eastAsia="宋体"/>
            </w:rPr>
            <w:t>4.</w:t>
          </w:r>
          <w:r>
            <w:rPr>
              <w:rFonts w:hint="eastAsia" w:ascii="Times New Roman" w:hAnsi="Times New Roman" w:eastAsia="宋体"/>
              <w:lang w:val="en-US" w:eastAsia="zh-CN"/>
            </w:rPr>
            <w:t>1</w:t>
          </w:r>
          <w:r>
            <w:rPr>
              <w:rFonts w:ascii="Times New Roman" w:hAnsi="Times New Roman" w:eastAsia="宋体"/>
            </w:rPr>
            <w:t>.3</w:t>
          </w:r>
          <w:r>
            <w:rPr>
              <w:rFonts w:hint="eastAsia" w:ascii="Times New Roman" w:hAnsi="Times New Roman" w:eastAsia="宋体"/>
            </w:rPr>
            <w:t>噪声</w:t>
          </w:r>
          <w:r>
            <w:tab/>
          </w:r>
          <w:r>
            <w:fldChar w:fldCharType="begin"/>
          </w:r>
          <w:r>
            <w:instrText xml:space="preserve"> PAGEREF _Toc4799 \h </w:instrText>
          </w:r>
          <w:r>
            <w:fldChar w:fldCharType="separate"/>
          </w:r>
          <w:r>
            <w:t>21</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_Toc22083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ascii="Times New Roman" w:hAnsi="Times New Roman" w:eastAsia="宋体"/>
            </w:rPr>
            <w:t>.</w:t>
          </w:r>
          <w:r>
            <w:rPr>
              <w:rFonts w:hint="eastAsia" w:ascii="Times New Roman" w:hAnsi="Times New Roman" w:eastAsia="宋体"/>
              <w:lang w:val="en-US" w:eastAsia="zh-CN"/>
            </w:rPr>
            <w:t>1</w:t>
          </w:r>
          <w:r>
            <w:rPr>
              <w:rFonts w:ascii="Times New Roman" w:hAnsi="Times New Roman" w:eastAsia="宋体"/>
            </w:rPr>
            <w:t>.4固体废物</w:t>
          </w:r>
          <w:r>
            <w:tab/>
          </w:r>
          <w:r>
            <w:fldChar w:fldCharType="begin"/>
          </w:r>
          <w:r>
            <w:instrText xml:space="preserve"> PAGEREF _Toc22083 \h </w:instrText>
          </w:r>
          <w:r>
            <w:fldChar w:fldCharType="separate"/>
          </w:r>
          <w:r>
            <w:t>22</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_Toc21419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ascii="Times New Roman" w:hAnsi="Times New Roman" w:eastAsia="宋体"/>
            </w:rPr>
            <w:t>.</w:t>
          </w:r>
          <w:r>
            <w:rPr>
              <w:rFonts w:hint="eastAsia" w:ascii="Times New Roman" w:hAnsi="Times New Roman" w:eastAsia="宋体"/>
              <w:lang w:val="en-US" w:eastAsia="zh-CN"/>
            </w:rPr>
            <w:t>2</w:t>
          </w:r>
          <w:r>
            <w:rPr>
              <w:rFonts w:hint="eastAsia" w:ascii="Times New Roman" w:hAnsi="Times New Roman" w:eastAsia="宋体"/>
            </w:rPr>
            <w:t>其他环境保护设施</w:t>
          </w:r>
          <w:r>
            <w:tab/>
          </w:r>
          <w:r>
            <w:fldChar w:fldCharType="begin"/>
          </w:r>
          <w:r>
            <w:instrText xml:space="preserve"> PAGEREF _Toc21419 \h </w:instrText>
          </w:r>
          <w:r>
            <w:fldChar w:fldCharType="separate"/>
          </w:r>
          <w:r>
            <w:t>22</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_Toc8709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4.</w:t>
          </w:r>
          <w:r>
            <w:rPr>
              <w:rFonts w:hint="eastAsia" w:ascii="Times New Roman" w:hAnsi="Times New Roman" w:eastAsia="宋体"/>
              <w:szCs w:val="28"/>
              <w:lang w:val="en-US" w:eastAsia="zh-CN"/>
            </w:rPr>
            <w:t>2</w:t>
          </w:r>
          <w:r>
            <w:rPr>
              <w:rFonts w:hint="eastAsia" w:ascii="Times New Roman" w:hAnsi="Times New Roman" w:eastAsia="宋体"/>
              <w:szCs w:val="28"/>
            </w:rPr>
            <w:t>.1</w:t>
          </w:r>
          <w:r>
            <w:rPr>
              <w:rFonts w:hint="eastAsia" w:ascii="Times New Roman" w:hAnsi="Times New Roman" w:eastAsia="宋体"/>
              <w:szCs w:val="28"/>
              <w:lang w:eastAsia="zh-CN"/>
            </w:rPr>
            <w:t>项目风险防范措施</w:t>
          </w:r>
          <w:r>
            <w:tab/>
          </w:r>
          <w:r>
            <w:fldChar w:fldCharType="begin"/>
          </w:r>
          <w:r>
            <w:instrText xml:space="preserve"> PAGEREF _Toc8709 \h </w:instrText>
          </w:r>
          <w:r>
            <w:fldChar w:fldCharType="separate"/>
          </w:r>
          <w:r>
            <w:t>22</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_Toc18419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4.2.</w:t>
          </w:r>
          <w:r>
            <w:rPr>
              <w:rFonts w:hint="eastAsia" w:ascii="Times New Roman" w:hAnsi="Times New Roman" w:eastAsia="宋体"/>
              <w:szCs w:val="28"/>
              <w:lang w:val="en-US" w:eastAsia="zh-CN"/>
            </w:rPr>
            <w:t>3</w:t>
          </w:r>
          <w:r>
            <w:rPr>
              <w:rFonts w:hint="eastAsia" w:ascii="Times New Roman" w:hAnsi="Times New Roman" w:eastAsia="宋体"/>
              <w:szCs w:val="28"/>
            </w:rPr>
            <w:t>规范化排污口、监测设施及在线监测装置</w:t>
          </w:r>
          <w:r>
            <w:tab/>
          </w:r>
          <w:r>
            <w:fldChar w:fldCharType="begin"/>
          </w:r>
          <w:r>
            <w:instrText xml:space="preserve"> PAGEREF _Toc18419 \h </w:instrText>
          </w:r>
          <w:r>
            <w:fldChar w:fldCharType="separate"/>
          </w:r>
          <w:r>
            <w:t>24</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_Toc13608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4.</w:t>
          </w:r>
          <w:r>
            <w:rPr>
              <w:rFonts w:hint="eastAsia" w:ascii="Times New Roman" w:hAnsi="Times New Roman" w:eastAsia="宋体" w:cs="Times New Roman"/>
              <w:lang w:val="en-US" w:eastAsia="zh-CN"/>
            </w:rPr>
            <w:t>3</w:t>
          </w:r>
          <w:r>
            <w:rPr>
              <w:rFonts w:ascii="Times New Roman" w:hAnsi="Times New Roman" w:eastAsia="宋体" w:cs="Times New Roman"/>
            </w:rPr>
            <w:t>环境管理检查情况</w:t>
          </w:r>
          <w:r>
            <w:tab/>
          </w:r>
          <w:r>
            <w:fldChar w:fldCharType="begin"/>
          </w:r>
          <w:r>
            <w:instrText xml:space="preserve"> PAGEREF _Toc13608 \h </w:instrText>
          </w:r>
          <w:r>
            <w:fldChar w:fldCharType="separate"/>
          </w:r>
          <w:r>
            <w:t>24</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_Toc23233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hint="eastAsia" w:ascii="Times New Roman" w:hAnsi="Times New Roman" w:eastAsia="宋体"/>
              <w:lang w:val="en-US" w:eastAsia="zh-CN"/>
            </w:rPr>
            <w:t>3</w:t>
          </w:r>
          <w:r>
            <w:rPr>
              <w:rFonts w:hint="eastAsia" w:ascii="Times New Roman" w:hAnsi="Times New Roman" w:eastAsia="宋体"/>
            </w:rPr>
            <w:t>.</w:t>
          </w:r>
          <w:r>
            <w:rPr>
              <w:rFonts w:hint="eastAsia" w:ascii="Times New Roman" w:hAnsi="Times New Roman" w:eastAsia="宋体"/>
              <w:lang w:val="en-US" w:eastAsia="zh-CN"/>
            </w:rPr>
            <w:t>1</w:t>
          </w:r>
          <w:r>
            <w:rPr>
              <w:rFonts w:hint="eastAsia" w:ascii="Times New Roman" w:hAnsi="Times New Roman" w:eastAsia="宋体"/>
            </w:rPr>
            <w:t>环境管理制度</w:t>
          </w:r>
          <w:r>
            <w:tab/>
          </w:r>
          <w:r>
            <w:fldChar w:fldCharType="begin"/>
          </w:r>
          <w:r>
            <w:instrText xml:space="preserve"> PAGEREF _Toc23233 \h </w:instrText>
          </w:r>
          <w:r>
            <w:fldChar w:fldCharType="separate"/>
          </w:r>
          <w:r>
            <w:t>24</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_Toc17336 </w:instrText>
          </w:r>
          <w:r>
            <w:rPr>
              <w:rFonts w:ascii="Times New Roman" w:hAnsi="Times New Roman" w:eastAsia="宋体" w:cs="Times New Roman"/>
              <w:bCs/>
              <w:szCs w:val="28"/>
              <w:lang w:val="zh-CN"/>
            </w:rPr>
            <w:fldChar w:fldCharType="separate"/>
          </w:r>
          <w:r>
            <w:rPr>
              <w:rFonts w:ascii="Times New Roman" w:hAnsi="Times New Roman" w:eastAsia="宋体"/>
            </w:rPr>
            <w:t>4.</w:t>
          </w:r>
          <w:r>
            <w:rPr>
              <w:rFonts w:hint="eastAsia" w:ascii="Times New Roman" w:hAnsi="Times New Roman" w:eastAsia="宋体"/>
              <w:lang w:val="en-US" w:eastAsia="zh-CN"/>
            </w:rPr>
            <w:t>3</w:t>
          </w:r>
          <w:r>
            <w:rPr>
              <w:rFonts w:ascii="Times New Roman" w:hAnsi="Times New Roman" w:eastAsia="宋体"/>
            </w:rPr>
            <w:t>.</w:t>
          </w:r>
          <w:r>
            <w:rPr>
              <w:rFonts w:hint="eastAsia" w:ascii="Times New Roman" w:hAnsi="Times New Roman" w:eastAsia="宋体"/>
            </w:rPr>
            <w:t>2</w:t>
          </w:r>
          <w:r>
            <w:rPr>
              <w:rFonts w:ascii="Times New Roman" w:hAnsi="Times New Roman" w:eastAsia="宋体"/>
            </w:rPr>
            <w:t>环境监测计划</w:t>
          </w:r>
          <w:r>
            <w:tab/>
          </w:r>
          <w:r>
            <w:fldChar w:fldCharType="begin"/>
          </w:r>
          <w:r>
            <w:instrText xml:space="preserve"> PAGEREF _Toc17336 \h </w:instrText>
          </w:r>
          <w:r>
            <w:fldChar w:fldCharType="separate"/>
          </w:r>
          <w:r>
            <w:t>24</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_Toc22330 </w:instrText>
          </w:r>
          <w:r>
            <w:rPr>
              <w:rFonts w:ascii="Times New Roman" w:hAnsi="Times New Roman" w:eastAsia="宋体" w:cs="Times New Roman"/>
              <w:bCs/>
              <w:szCs w:val="28"/>
              <w:lang w:val="zh-CN"/>
            </w:rPr>
            <w:fldChar w:fldCharType="separate"/>
          </w:r>
          <w:r>
            <w:rPr>
              <w:rFonts w:hint="eastAsia" w:ascii="宋体" w:hAnsi="宋体" w:eastAsia="宋体" w:cs="宋体"/>
              <w:bCs w:val="0"/>
              <w:szCs w:val="24"/>
              <w:highlight w:val="none"/>
              <w:lang w:val="en-US" w:eastAsia="zh-CN"/>
            </w:rPr>
            <w:t>(3)生活污水监测计划</w:t>
          </w:r>
          <w:r>
            <w:tab/>
          </w:r>
          <w:r>
            <w:fldChar w:fldCharType="begin"/>
          </w:r>
          <w:r>
            <w:instrText xml:space="preserve"> PAGEREF _Toc22330 \h </w:instrText>
          </w:r>
          <w:r>
            <w:fldChar w:fldCharType="separate"/>
          </w:r>
          <w:r>
            <w:t>25</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_Toc24178 </w:instrText>
          </w:r>
          <w:r>
            <w:rPr>
              <w:rFonts w:ascii="Times New Roman" w:hAnsi="Times New Roman" w:eastAsia="宋体" w:cs="Times New Roman"/>
              <w:bCs/>
              <w:szCs w:val="28"/>
              <w:lang w:val="zh-CN"/>
            </w:rPr>
            <w:fldChar w:fldCharType="separate"/>
          </w:r>
          <w:r>
            <w:rPr>
              <w:rFonts w:hint="eastAsia" w:ascii="Times New Roman" w:hAnsi="Times New Roman" w:eastAsia="宋体"/>
            </w:rPr>
            <w:t>4.</w:t>
          </w:r>
          <w:r>
            <w:rPr>
              <w:rFonts w:hint="eastAsia" w:ascii="Times New Roman" w:hAnsi="Times New Roman" w:eastAsia="宋体"/>
              <w:lang w:val="en-US" w:eastAsia="zh-CN"/>
            </w:rPr>
            <w:t>3</w:t>
          </w:r>
          <w:r>
            <w:rPr>
              <w:rFonts w:hint="eastAsia" w:ascii="Times New Roman" w:hAnsi="Times New Roman" w:eastAsia="宋体"/>
            </w:rPr>
            <w:t>.3环境防护距离检查情况</w:t>
          </w:r>
          <w:r>
            <w:tab/>
          </w:r>
          <w:r>
            <w:fldChar w:fldCharType="begin"/>
          </w:r>
          <w:r>
            <w:instrText xml:space="preserve"> PAGEREF _Toc24178 \h </w:instrText>
          </w:r>
          <w:r>
            <w:fldChar w:fldCharType="separate"/>
          </w:r>
          <w:r>
            <w:t>25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_Toc15555 </w:instrText>
          </w:r>
          <w:r>
            <w:rPr>
              <w:rFonts w:ascii="Times New Roman" w:hAnsi="Times New Roman" w:eastAsia="宋体" w:cs="Times New Roman"/>
              <w:bCs/>
              <w:szCs w:val="28"/>
              <w:lang w:val="zh-CN"/>
            </w:rPr>
            <w:fldChar w:fldCharType="separate"/>
          </w:r>
          <w:r>
            <w:rPr>
              <w:rFonts w:ascii="Times New Roman" w:hAnsi="Times New Roman" w:eastAsia="宋体" w:cs="Times New Roman"/>
              <w:highlight w:val="none"/>
            </w:rPr>
            <w:t>4.</w:t>
          </w:r>
          <w:r>
            <w:rPr>
              <w:rFonts w:hint="eastAsia" w:ascii="Times New Roman" w:hAnsi="Times New Roman" w:eastAsia="宋体" w:cs="Times New Roman"/>
              <w:highlight w:val="none"/>
              <w:lang w:val="en-US" w:eastAsia="zh-CN"/>
            </w:rPr>
            <w:t>4</w:t>
          </w:r>
          <w:r>
            <w:rPr>
              <w:rFonts w:ascii="Times New Roman" w:hAnsi="Times New Roman" w:eastAsia="宋体" w:cs="Times New Roman"/>
              <w:highlight w:val="none"/>
            </w:rPr>
            <w:t>环保设施投资及环保措施落实情况</w:t>
          </w:r>
          <w:r>
            <w:tab/>
          </w:r>
          <w:r>
            <w:fldChar w:fldCharType="begin"/>
          </w:r>
          <w:r>
            <w:instrText xml:space="preserve"> PAGEREF _Toc15555 \h </w:instrText>
          </w:r>
          <w:r>
            <w:fldChar w:fldCharType="separate"/>
          </w:r>
          <w:r>
            <w:t>27</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_Toc23122 </w:instrText>
          </w:r>
          <w:r>
            <w:rPr>
              <w:rFonts w:ascii="Times New Roman" w:hAnsi="Times New Roman" w:eastAsia="宋体" w:cs="Times New Roman"/>
              <w:bCs/>
              <w:szCs w:val="28"/>
              <w:lang w:val="zh-CN"/>
            </w:rPr>
            <w:fldChar w:fldCharType="separate"/>
          </w:r>
          <w:r>
            <w:rPr>
              <w:rFonts w:hint="eastAsia" w:ascii="Times New Roman" w:hAnsi="Times New Roman" w:eastAsia="宋体"/>
            </w:rPr>
            <w:t>五、环评主要结论与建议及审批意见要求</w:t>
          </w:r>
          <w:r>
            <w:tab/>
          </w:r>
          <w:r>
            <w:fldChar w:fldCharType="begin"/>
          </w:r>
          <w:r>
            <w:instrText xml:space="preserve"> PAGEREF _Toc23122 \h </w:instrText>
          </w:r>
          <w:r>
            <w:fldChar w:fldCharType="separate"/>
          </w:r>
          <w:r>
            <w:t>29</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_Toc23249 </w:instrText>
          </w:r>
          <w:r>
            <w:rPr>
              <w:rFonts w:ascii="Times New Roman" w:hAnsi="Times New Roman" w:eastAsia="宋体" w:cs="Times New Roman"/>
              <w:bCs/>
              <w:szCs w:val="28"/>
              <w:lang w:val="zh-CN"/>
            </w:rPr>
            <w:fldChar w:fldCharType="separate"/>
          </w:r>
          <w:r>
            <w:rPr>
              <w:rFonts w:hint="eastAsia" w:ascii="Times New Roman" w:hAnsi="Times New Roman" w:eastAsia="宋体"/>
              <w:lang w:val="en-US" w:eastAsia="zh-CN"/>
            </w:rPr>
            <w:t>5.1环评结论</w:t>
          </w:r>
          <w:r>
            <w:tab/>
          </w:r>
          <w:r>
            <w:fldChar w:fldCharType="begin"/>
          </w:r>
          <w:r>
            <w:instrText xml:space="preserve"> PAGEREF _Toc23249 \h </w:instrText>
          </w:r>
          <w:r>
            <w:fldChar w:fldCharType="separate"/>
          </w:r>
          <w:r>
            <w:t>29</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_Toc1470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5.2环境保护局对环评报告的审批意见</w:t>
          </w:r>
          <w:r>
            <w:tab/>
          </w:r>
          <w:r>
            <w:fldChar w:fldCharType="begin"/>
          </w:r>
          <w:r>
            <w:instrText xml:space="preserve"> PAGEREF _Toc1470 \h </w:instrText>
          </w:r>
          <w:r>
            <w:fldChar w:fldCharType="separate"/>
          </w:r>
          <w:r>
            <w:t>31</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_Toc6126 </w:instrText>
          </w:r>
          <w:r>
            <w:rPr>
              <w:rFonts w:ascii="Times New Roman" w:hAnsi="Times New Roman" w:eastAsia="宋体" w:cs="Times New Roman"/>
              <w:bCs/>
              <w:szCs w:val="28"/>
              <w:lang w:val="zh-CN"/>
            </w:rPr>
            <w:fldChar w:fldCharType="separate"/>
          </w:r>
          <w:r>
            <w:rPr>
              <w:rFonts w:hint="eastAsia" w:ascii="Times New Roman" w:hAnsi="Times New Roman" w:eastAsia="宋体"/>
            </w:rPr>
            <w:t>六、验收执行标准</w:t>
          </w:r>
          <w:r>
            <w:tab/>
          </w:r>
          <w:r>
            <w:fldChar w:fldCharType="begin"/>
          </w:r>
          <w:r>
            <w:instrText xml:space="preserve"> PAGEREF _Toc6126 \h </w:instrText>
          </w:r>
          <w:r>
            <w:fldChar w:fldCharType="separate"/>
          </w:r>
          <w:r>
            <w:t>34</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_Toc8166 </w:instrText>
          </w:r>
          <w:r>
            <w:rPr>
              <w:rFonts w:ascii="Times New Roman" w:hAnsi="Times New Roman" w:eastAsia="宋体" w:cs="Times New Roman"/>
              <w:bCs/>
              <w:szCs w:val="28"/>
              <w:lang w:val="zh-CN"/>
            </w:rPr>
            <w:fldChar w:fldCharType="separate"/>
          </w:r>
          <w:r>
            <w:rPr>
              <w:rFonts w:hint="eastAsia" w:ascii="Times New Roman" w:hAnsi="Times New Roman" w:eastAsia="宋体"/>
            </w:rPr>
            <w:t>6.1</w:t>
          </w:r>
          <w:r>
            <w:rPr>
              <w:rFonts w:hint="eastAsia" w:ascii="Times New Roman" w:hAnsi="Times New Roman" w:eastAsia="宋体"/>
              <w:lang w:eastAsia="zh-CN"/>
            </w:rPr>
            <w:t>废气排放标准</w:t>
          </w:r>
          <w:r>
            <w:tab/>
          </w:r>
          <w:r>
            <w:fldChar w:fldCharType="begin"/>
          </w:r>
          <w:r>
            <w:instrText xml:space="preserve"> PAGEREF _Toc8166 \h </w:instrText>
          </w:r>
          <w:r>
            <w:fldChar w:fldCharType="separate"/>
          </w:r>
          <w:r>
            <w:t>34</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_Toc9743 </w:instrText>
          </w:r>
          <w:r>
            <w:rPr>
              <w:rFonts w:ascii="Times New Roman" w:hAnsi="Times New Roman" w:eastAsia="宋体" w:cs="Times New Roman"/>
              <w:bCs/>
              <w:szCs w:val="28"/>
              <w:lang w:val="zh-CN"/>
            </w:rPr>
            <w:fldChar w:fldCharType="separate"/>
          </w:r>
          <w:r>
            <w:rPr>
              <w:rFonts w:hint="eastAsia" w:ascii="Times New Roman" w:hAnsi="Times New Roman" w:eastAsia="宋体"/>
              <w:highlight w:val="none"/>
              <w:lang w:val="en-US" w:eastAsia="zh-CN"/>
            </w:rPr>
            <w:t>6.2污水</w:t>
          </w:r>
          <w:r>
            <w:rPr>
              <w:rFonts w:hint="eastAsia" w:ascii="Times New Roman" w:hAnsi="Times New Roman" w:eastAsia="宋体"/>
              <w:bCs/>
              <w:highlight w:val="none"/>
            </w:rPr>
            <w:t>排放标准</w:t>
          </w:r>
          <w:r>
            <w:tab/>
          </w:r>
          <w:r>
            <w:fldChar w:fldCharType="begin"/>
          </w:r>
          <w:r>
            <w:instrText xml:space="preserve"> PAGEREF _Toc9743 \h </w:instrText>
          </w:r>
          <w:r>
            <w:fldChar w:fldCharType="separate"/>
          </w:r>
          <w:r>
            <w:t>34</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_Toc27734 </w:instrText>
          </w:r>
          <w:r>
            <w:rPr>
              <w:rFonts w:ascii="Times New Roman" w:hAnsi="Times New Roman" w:eastAsia="宋体" w:cs="Times New Roman"/>
              <w:bCs/>
              <w:szCs w:val="28"/>
              <w:lang w:val="zh-CN"/>
            </w:rPr>
            <w:fldChar w:fldCharType="separate"/>
          </w:r>
          <w:r>
            <w:rPr>
              <w:rFonts w:ascii="Times New Roman" w:hAnsi="Times New Roman" w:eastAsia="宋体"/>
            </w:rPr>
            <w:t>6</w:t>
          </w:r>
          <w:r>
            <w:rPr>
              <w:rFonts w:hint="eastAsia" w:ascii="Times New Roman" w:hAnsi="Times New Roman" w:eastAsia="宋体"/>
            </w:rPr>
            <w:t>.</w:t>
          </w:r>
          <w:r>
            <w:rPr>
              <w:rFonts w:hint="eastAsia" w:ascii="Times New Roman" w:hAnsi="Times New Roman" w:eastAsia="宋体"/>
              <w:lang w:val="en-US" w:eastAsia="zh-CN"/>
            </w:rPr>
            <w:t>3</w:t>
          </w:r>
          <w:r>
            <w:rPr>
              <w:rFonts w:ascii="Times New Roman" w:hAnsi="Times New Roman" w:eastAsia="宋体"/>
            </w:rPr>
            <w:t>噪声</w:t>
          </w:r>
          <w:r>
            <w:rPr>
              <w:rFonts w:hint="eastAsia" w:ascii="Times New Roman" w:hAnsi="Times New Roman" w:eastAsia="宋体"/>
            </w:rPr>
            <w:t>排放标准</w:t>
          </w:r>
          <w:r>
            <w:tab/>
          </w:r>
          <w:r>
            <w:fldChar w:fldCharType="begin"/>
          </w:r>
          <w:r>
            <w:instrText xml:space="preserve"> PAGEREF _Toc27734 \h </w:instrText>
          </w:r>
          <w:r>
            <w:fldChar w:fldCharType="separate"/>
          </w:r>
          <w:r>
            <w:t>35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_Toc13936 </w:instrText>
          </w:r>
          <w:r>
            <w:rPr>
              <w:rFonts w:ascii="Times New Roman" w:hAnsi="Times New Roman" w:eastAsia="宋体" w:cs="Times New Roman"/>
              <w:bCs/>
              <w:szCs w:val="28"/>
              <w:lang w:val="zh-CN"/>
            </w:rPr>
            <w:fldChar w:fldCharType="separate"/>
          </w:r>
          <w:r>
            <w:rPr>
              <w:rFonts w:ascii="Times New Roman" w:hAnsi="Times New Roman" w:eastAsia="宋体"/>
            </w:rPr>
            <w:t>6</w:t>
          </w:r>
          <w:r>
            <w:rPr>
              <w:rFonts w:hint="eastAsia" w:ascii="Times New Roman" w:hAnsi="Times New Roman" w:eastAsia="宋体"/>
            </w:rPr>
            <w:t>.</w:t>
          </w:r>
          <w:r>
            <w:rPr>
              <w:rFonts w:hint="eastAsia" w:ascii="Times New Roman" w:hAnsi="Times New Roman" w:eastAsia="宋体"/>
              <w:lang w:val="en-US" w:eastAsia="zh-CN"/>
            </w:rPr>
            <w:t>4</w:t>
          </w:r>
          <w:r>
            <w:rPr>
              <w:rFonts w:hint="eastAsia" w:ascii="Times New Roman" w:hAnsi="Times New Roman" w:eastAsia="宋体"/>
            </w:rPr>
            <w:t>固废控制标准</w:t>
          </w:r>
          <w:r>
            <w:tab/>
          </w:r>
          <w:r>
            <w:fldChar w:fldCharType="begin"/>
          </w:r>
          <w:r>
            <w:instrText xml:space="preserve"> PAGEREF _Toc13936 \h </w:instrText>
          </w:r>
          <w:r>
            <w:fldChar w:fldCharType="separate"/>
          </w:r>
          <w:r>
            <w:t>35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_Toc19395 </w:instrText>
          </w:r>
          <w:r>
            <w:rPr>
              <w:rFonts w:ascii="Times New Roman" w:hAnsi="Times New Roman" w:eastAsia="宋体" w:cs="Times New Roman"/>
              <w:bCs/>
              <w:szCs w:val="28"/>
              <w:lang w:val="zh-CN"/>
            </w:rPr>
            <w:fldChar w:fldCharType="separate"/>
          </w:r>
          <w:r>
            <w:rPr>
              <w:rFonts w:ascii="Times New Roman" w:hAnsi="Times New Roman" w:eastAsia="宋体" w:cs="Times New Roman"/>
            </w:rPr>
            <w:t>6.</w:t>
          </w:r>
          <w:r>
            <w:rPr>
              <w:rFonts w:hint="eastAsia" w:ascii="Times New Roman" w:hAnsi="Times New Roman" w:eastAsia="宋体" w:cs="Times New Roman"/>
              <w:lang w:val="en-US" w:eastAsia="zh-CN"/>
            </w:rPr>
            <w:t>5</w:t>
          </w:r>
          <w:r>
            <w:rPr>
              <w:rFonts w:ascii="Times New Roman" w:hAnsi="Times New Roman" w:eastAsia="宋体" w:cs="Times New Roman"/>
            </w:rPr>
            <w:t>总量核定标准</w:t>
          </w:r>
          <w:r>
            <w:tab/>
          </w:r>
          <w:r>
            <w:fldChar w:fldCharType="begin"/>
          </w:r>
          <w:r>
            <w:instrText xml:space="preserve"> PAGEREF _Toc19395 \h </w:instrText>
          </w:r>
          <w:r>
            <w:fldChar w:fldCharType="separate"/>
          </w:r>
          <w:r>
            <w:t>35</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_Toc4504 </w:instrText>
          </w:r>
          <w:r>
            <w:rPr>
              <w:rFonts w:ascii="Times New Roman" w:hAnsi="Times New Roman" w:eastAsia="宋体" w:cs="Times New Roman"/>
              <w:bCs/>
              <w:szCs w:val="28"/>
              <w:lang w:val="zh-CN"/>
            </w:rPr>
            <w:fldChar w:fldCharType="separate"/>
          </w:r>
          <w:r>
            <w:rPr>
              <w:rFonts w:hint="eastAsia" w:ascii="Times New Roman" w:hAnsi="Times New Roman" w:eastAsia="宋体"/>
            </w:rPr>
            <w:t>七、验收监测内容</w:t>
          </w:r>
          <w:r>
            <w:tab/>
          </w:r>
          <w:r>
            <w:fldChar w:fldCharType="begin"/>
          </w:r>
          <w:r>
            <w:instrText xml:space="preserve"> PAGEREF _Toc4504 \h </w:instrText>
          </w:r>
          <w:r>
            <w:fldChar w:fldCharType="separate"/>
          </w:r>
          <w:r>
            <w:t>36</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_Toc19613 </w:instrText>
          </w:r>
          <w:r>
            <w:rPr>
              <w:rFonts w:ascii="Times New Roman" w:hAnsi="Times New Roman" w:eastAsia="宋体" w:cs="Times New Roman"/>
              <w:bCs/>
              <w:szCs w:val="28"/>
              <w:lang w:val="zh-CN"/>
            </w:rPr>
            <w:fldChar w:fldCharType="separate"/>
          </w:r>
          <w:r>
            <w:rPr>
              <w:rFonts w:hint="eastAsia" w:ascii="Times New Roman" w:hAnsi="Times New Roman" w:eastAsia="宋体"/>
            </w:rPr>
            <w:t>7</w:t>
          </w:r>
          <w:r>
            <w:rPr>
              <w:rFonts w:ascii="Times New Roman" w:hAnsi="Times New Roman" w:eastAsia="宋体"/>
            </w:rPr>
            <w:t>.1</w:t>
          </w:r>
          <w:r>
            <w:rPr>
              <w:rFonts w:hint="eastAsia" w:ascii="Times New Roman" w:hAnsi="Times New Roman" w:eastAsia="宋体"/>
            </w:rPr>
            <w:t>环境保护设施调试运行效果</w:t>
          </w:r>
          <w:r>
            <w:tab/>
          </w:r>
          <w:r>
            <w:fldChar w:fldCharType="begin"/>
          </w:r>
          <w:r>
            <w:instrText xml:space="preserve"> PAGEREF _Toc19613 \h </w:instrText>
          </w:r>
          <w:r>
            <w:fldChar w:fldCharType="separate"/>
          </w:r>
          <w:r>
            <w:t>36</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_Toc23602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rPr>
            <w:t>1</w:t>
          </w:r>
          <w:r>
            <w:rPr>
              <w:rFonts w:hint="eastAsia" w:ascii="Times New Roman" w:hAnsi="Times New Roman" w:eastAsia="宋体"/>
              <w:lang w:eastAsia="zh-CN"/>
            </w:rPr>
            <w:t>有</w:t>
          </w:r>
          <w:r>
            <w:rPr>
              <w:rFonts w:ascii="Times New Roman" w:hAnsi="Times New Roman" w:eastAsia="宋体"/>
            </w:rPr>
            <w:t>组织废气监测</w:t>
          </w:r>
          <w:r>
            <w:tab/>
          </w:r>
          <w:r>
            <w:fldChar w:fldCharType="begin"/>
          </w:r>
          <w:r>
            <w:instrText xml:space="preserve"> PAGEREF _Toc23602 \h </w:instrText>
          </w:r>
          <w:r>
            <w:fldChar w:fldCharType="separate"/>
          </w:r>
          <w:r>
            <w:t>36</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_Toc30966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lang w:val="en-US" w:eastAsia="zh-CN"/>
            </w:rPr>
            <w:t>2</w:t>
          </w:r>
          <w:r>
            <w:rPr>
              <w:rFonts w:hint="eastAsia" w:ascii="Times New Roman" w:hAnsi="Times New Roman" w:eastAsia="宋体"/>
              <w:lang w:eastAsia="zh-CN"/>
            </w:rPr>
            <w:t>无</w:t>
          </w:r>
          <w:r>
            <w:rPr>
              <w:rFonts w:ascii="Times New Roman" w:hAnsi="Times New Roman" w:eastAsia="宋体"/>
            </w:rPr>
            <w:t>组织废气监测</w:t>
          </w:r>
          <w:r>
            <w:tab/>
          </w:r>
          <w:r>
            <w:fldChar w:fldCharType="begin"/>
          </w:r>
          <w:r>
            <w:instrText xml:space="preserve"> PAGEREF _Toc30966 \h </w:instrText>
          </w:r>
          <w:r>
            <w:fldChar w:fldCharType="separate"/>
          </w:r>
          <w:r>
            <w:t>36</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_Toc22484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eastAsia="宋体"/>
              <w:lang w:val="en-US" w:eastAsia="zh-CN"/>
            </w:rPr>
            <w:t>3</w:t>
          </w:r>
          <w:r>
            <w:rPr>
              <w:rFonts w:ascii="Times New Roman" w:hAnsi="Times New Roman" w:eastAsia="宋体"/>
            </w:rPr>
            <w:t>噪声监测</w:t>
          </w:r>
          <w:r>
            <w:tab/>
          </w:r>
          <w:r>
            <w:fldChar w:fldCharType="begin"/>
          </w:r>
          <w:r>
            <w:instrText xml:space="preserve"> PAGEREF _Toc22484 \h </w:instrText>
          </w:r>
          <w:r>
            <w:fldChar w:fldCharType="separate"/>
          </w:r>
          <w:r>
            <w:t>36</w:t>
          </w:r>
          <w:r>
            <w:fldChar w:fldCharType="end"/>
          </w:r>
          <w:r>
            <w:rPr>
              <w:rFonts w:ascii="Times New Roman" w:hAnsi="Times New Roman" w:eastAsia="宋体" w:cs="Times New Roman"/>
              <w:bCs/>
              <w:color w:val="auto"/>
              <w:szCs w:val="28"/>
              <w:lang w:val="zh-CN"/>
            </w:rPr>
            <w:fldChar w:fldCharType="end"/>
          </w:r>
        </w:p>
        <w:p>
          <w:pPr>
            <w:pStyle w:val="12"/>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_Toc5294 </w:instrText>
          </w:r>
          <w:r>
            <w:rPr>
              <w:rFonts w:ascii="Times New Roman" w:hAnsi="Times New Roman" w:eastAsia="宋体" w:cs="Times New Roman"/>
              <w:bCs/>
              <w:szCs w:val="28"/>
              <w:lang w:val="zh-CN"/>
            </w:rPr>
            <w:fldChar w:fldCharType="separate"/>
          </w:r>
          <w:r>
            <w:rPr>
              <w:rFonts w:ascii="Times New Roman" w:hAnsi="Times New Roman" w:eastAsia="宋体"/>
            </w:rPr>
            <w:t>7.1.</w:t>
          </w:r>
          <w:r>
            <w:rPr>
              <w:rFonts w:hint="eastAsia" w:ascii="Times New Roman" w:hAnsi="Times New Roman"/>
              <w:lang w:val="en-US" w:eastAsia="zh-CN"/>
            </w:rPr>
            <w:t>4生活污水</w:t>
          </w:r>
          <w:r>
            <w:rPr>
              <w:rFonts w:ascii="Times New Roman" w:hAnsi="Times New Roman" w:eastAsia="宋体"/>
            </w:rPr>
            <w:t>监测</w:t>
          </w:r>
          <w:r>
            <w:tab/>
          </w:r>
          <w:r>
            <w:fldChar w:fldCharType="begin"/>
          </w:r>
          <w:r>
            <w:instrText xml:space="preserve"> PAGEREF _Toc5294 \h </w:instrText>
          </w:r>
          <w:r>
            <w:fldChar w:fldCharType="separate"/>
          </w:r>
          <w:r>
            <w:t>37</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_Toc9973 </w:instrText>
          </w:r>
          <w:r>
            <w:rPr>
              <w:rFonts w:ascii="Times New Roman" w:hAnsi="Times New Roman" w:eastAsia="宋体" w:cs="Times New Roman"/>
              <w:bCs/>
              <w:szCs w:val="28"/>
              <w:lang w:val="zh-CN"/>
            </w:rPr>
            <w:fldChar w:fldCharType="separate"/>
          </w:r>
          <w:r>
            <w:rPr>
              <w:rFonts w:hint="eastAsia" w:ascii="Times New Roman" w:hAnsi="Times New Roman" w:eastAsia="宋体"/>
            </w:rPr>
            <w:t>7.</w:t>
          </w:r>
          <w:r>
            <w:rPr>
              <w:rFonts w:hint="eastAsia" w:ascii="Times New Roman" w:hAnsi="Times New Roman" w:eastAsia="宋体"/>
              <w:lang w:val="en-US" w:eastAsia="zh-CN"/>
            </w:rPr>
            <w:t>2</w:t>
          </w:r>
          <w:r>
            <w:rPr>
              <w:rFonts w:hint="eastAsia" w:ascii="Times New Roman" w:hAnsi="Times New Roman" w:eastAsia="宋体"/>
            </w:rPr>
            <w:t>监测布点图</w:t>
          </w:r>
          <w:r>
            <w:tab/>
          </w:r>
          <w:r>
            <w:fldChar w:fldCharType="begin"/>
          </w:r>
          <w:r>
            <w:instrText xml:space="preserve"> PAGEREF _Toc9973 \h </w:instrText>
          </w:r>
          <w:r>
            <w:fldChar w:fldCharType="separate"/>
          </w:r>
          <w:r>
            <w:t>38</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_Toc22032 </w:instrText>
          </w:r>
          <w:r>
            <w:rPr>
              <w:rFonts w:ascii="Times New Roman" w:hAnsi="Times New Roman" w:eastAsia="宋体" w:cs="Times New Roman"/>
              <w:bCs/>
              <w:szCs w:val="28"/>
              <w:lang w:val="zh-CN"/>
            </w:rPr>
            <w:fldChar w:fldCharType="separate"/>
          </w:r>
          <w:r>
            <w:rPr>
              <w:rFonts w:hint="eastAsia" w:ascii="Times New Roman" w:hAnsi="Times New Roman" w:eastAsia="宋体"/>
            </w:rPr>
            <w:t>八、质量保证及质量控制</w:t>
          </w:r>
          <w:r>
            <w:tab/>
          </w:r>
          <w:r>
            <w:fldChar w:fldCharType="begin"/>
          </w:r>
          <w:r>
            <w:instrText xml:space="preserve"> PAGEREF _Toc22032 \h </w:instrText>
          </w:r>
          <w:r>
            <w:fldChar w:fldCharType="separate"/>
          </w:r>
          <w:r>
            <w:t>39</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_Toc5535 </w:instrText>
          </w:r>
          <w:r>
            <w:rPr>
              <w:rFonts w:ascii="Times New Roman" w:hAnsi="Times New Roman" w:eastAsia="宋体" w:cs="Times New Roman"/>
              <w:bCs/>
              <w:szCs w:val="28"/>
              <w:lang w:val="zh-CN"/>
            </w:rPr>
            <w:fldChar w:fldCharType="separate"/>
          </w:r>
          <w:r>
            <w:rPr>
              <w:rFonts w:ascii="Times New Roman" w:hAnsi="Times New Roman" w:eastAsia="宋体"/>
            </w:rPr>
            <w:t>8.1</w:t>
          </w:r>
          <w:r>
            <w:rPr>
              <w:rFonts w:hint="eastAsia" w:ascii="Times New Roman" w:hAnsi="Times New Roman" w:eastAsia="宋体"/>
            </w:rPr>
            <w:t>监测分析方法</w:t>
          </w:r>
          <w:r>
            <w:tab/>
          </w:r>
          <w:r>
            <w:fldChar w:fldCharType="begin"/>
          </w:r>
          <w:r>
            <w:instrText xml:space="preserve"> PAGEREF _Toc5535 \h </w:instrText>
          </w:r>
          <w:r>
            <w:fldChar w:fldCharType="separate"/>
          </w:r>
          <w:r>
            <w:t>39</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_Toc13376 </w:instrText>
          </w:r>
          <w:r>
            <w:rPr>
              <w:rFonts w:ascii="Times New Roman" w:hAnsi="Times New Roman" w:eastAsia="宋体" w:cs="Times New Roman"/>
              <w:bCs/>
              <w:szCs w:val="28"/>
              <w:lang w:val="zh-CN"/>
            </w:rPr>
            <w:fldChar w:fldCharType="separate"/>
          </w:r>
          <w:r>
            <w:rPr>
              <w:rFonts w:hint="eastAsia" w:ascii="Times New Roman" w:hAnsi="Times New Roman" w:eastAsia="宋体"/>
            </w:rPr>
            <w:t>8.2监测仪器</w:t>
          </w:r>
          <w:r>
            <w:tab/>
          </w:r>
          <w:r>
            <w:fldChar w:fldCharType="begin"/>
          </w:r>
          <w:r>
            <w:instrText xml:space="preserve"> PAGEREF _Toc13376 \h </w:instrText>
          </w:r>
          <w:r>
            <w:fldChar w:fldCharType="separate"/>
          </w:r>
          <w:r>
            <w:t>40</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_Toc13472 </w:instrText>
          </w:r>
          <w:r>
            <w:rPr>
              <w:rFonts w:ascii="Times New Roman" w:hAnsi="Times New Roman" w:eastAsia="宋体" w:cs="Times New Roman"/>
              <w:bCs/>
              <w:szCs w:val="28"/>
              <w:lang w:val="zh-CN"/>
            </w:rPr>
            <w:fldChar w:fldCharType="separate"/>
          </w:r>
          <w:r>
            <w:rPr>
              <w:rFonts w:hint="eastAsia" w:ascii="Times New Roman" w:hAnsi="Times New Roman" w:eastAsia="宋体"/>
            </w:rPr>
            <w:t>8.3人员资质</w:t>
          </w:r>
          <w:r>
            <w:tab/>
          </w:r>
          <w:r>
            <w:fldChar w:fldCharType="begin"/>
          </w:r>
          <w:r>
            <w:instrText xml:space="preserve"> PAGEREF _Toc13472 \h </w:instrText>
          </w:r>
          <w:r>
            <w:fldChar w:fldCharType="separate"/>
          </w:r>
          <w:r>
            <w:t>40</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_Toc553 </w:instrText>
          </w:r>
          <w:r>
            <w:rPr>
              <w:rFonts w:ascii="Times New Roman" w:hAnsi="Times New Roman" w:eastAsia="宋体" w:cs="Times New Roman"/>
              <w:bCs/>
              <w:szCs w:val="28"/>
              <w:lang w:val="zh-CN"/>
            </w:rPr>
            <w:fldChar w:fldCharType="separate"/>
          </w:r>
          <w:r>
            <w:rPr>
              <w:rFonts w:ascii="Times New Roman" w:hAnsi="Times New Roman" w:eastAsia="宋体"/>
              <w:szCs w:val="30"/>
            </w:rPr>
            <w:t>8.4气体监测分析中的质量控制和质量保证</w:t>
          </w:r>
          <w:r>
            <w:tab/>
          </w:r>
          <w:r>
            <w:fldChar w:fldCharType="begin"/>
          </w:r>
          <w:r>
            <w:instrText xml:space="preserve"> PAGEREF _Toc553 \h </w:instrText>
          </w:r>
          <w:r>
            <w:fldChar w:fldCharType="separate"/>
          </w:r>
          <w:r>
            <w:t>41</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_Toc17218 </w:instrText>
          </w:r>
          <w:r>
            <w:rPr>
              <w:rFonts w:ascii="Times New Roman" w:hAnsi="Times New Roman" w:eastAsia="宋体" w:cs="Times New Roman"/>
              <w:bCs/>
              <w:szCs w:val="28"/>
              <w:lang w:val="zh-CN"/>
            </w:rPr>
            <w:fldChar w:fldCharType="separate"/>
          </w:r>
          <w:r>
            <w:rPr>
              <w:rFonts w:ascii="Times New Roman" w:hAnsi="Times New Roman" w:eastAsia="宋体"/>
              <w:szCs w:val="30"/>
            </w:rPr>
            <w:t>8.5噪声监测分析中的质量控制和质量保证</w:t>
          </w:r>
          <w:r>
            <w:tab/>
          </w:r>
          <w:r>
            <w:fldChar w:fldCharType="begin"/>
          </w:r>
          <w:r>
            <w:instrText xml:space="preserve"> PAGEREF _Toc17218 \h </w:instrText>
          </w:r>
          <w:r>
            <w:fldChar w:fldCharType="separate"/>
          </w:r>
          <w:r>
            <w:t>41</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_Toc461 </w:instrText>
          </w:r>
          <w:r>
            <w:rPr>
              <w:rFonts w:ascii="Times New Roman" w:hAnsi="Times New Roman" w:eastAsia="宋体" w:cs="Times New Roman"/>
              <w:bCs/>
              <w:szCs w:val="28"/>
              <w:lang w:val="zh-CN"/>
            </w:rPr>
            <w:fldChar w:fldCharType="separate"/>
          </w:r>
          <w:r>
            <w:rPr>
              <w:rFonts w:hint="eastAsia" w:ascii="Times New Roman" w:hAnsi="Times New Roman" w:eastAsia="宋体"/>
            </w:rPr>
            <w:t>九、验收监测结果</w:t>
          </w:r>
          <w:r>
            <w:tab/>
          </w:r>
          <w:r>
            <w:fldChar w:fldCharType="begin"/>
          </w:r>
          <w:r>
            <w:instrText xml:space="preserve"> PAGEREF _Toc461 \h </w:instrText>
          </w:r>
          <w:r>
            <w:fldChar w:fldCharType="separate"/>
          </w:r>
          <w:r>
            <w:t>42</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_Toc984 </w:instrText>
          </w:r>
          <w:r>
            <w:rPr>
              <w:rFonts w:ascii="Times New Roman" w:hAnsi="Times New Roman" w:eastAsia="宋体" w:cs="Times New Roman"/>
              <w:bCs/>
              <w:szCs w:val="28"/>
              <w:lang w:val="zh-CN"/>
            </w:rPr>
            <w:fldChar w:fldCharType="separate"/>
          </w:r>
          <w:r>
            <w:rPr>
              <w:rFonts w:ascii="Times New Roman" w:hAnsi="Times New Roman" w:eastAsia="宋体"/>
            </w:rPr>
            <w:t>9.1</w:t>
          </w:r>
          <w:r>
            <w:rPr>
              <w:rFonts w:hint="eastAsia" w:ascii="Times New Roman" w:hAnsi="Times New Roman" w:eastAsia="宋体"/>
            </w:rPr>
            <w:t>生产工况</w:t>
          </w:r>
          <w:r>
            <w:tab/>
          </w:r>
          <w:r>
            <w:fldChar w:fldCharType="begin"/>
          </w:r>
          <w:r>
            <w:instrText xml:space="preserve"> PAGEREF _Toc984 \h </w:instrText>
          </w:r>
          <w:r>
            <w:fldChar w:fldCharType="separate"/>
          </w:r>
          <w:r>
            <w:t>42</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_Toc15140 </w:instrText>
          </w:r>
          <w:r>
            <w:rPr>
              <w:rFonts w:ascii="Times New Roman" w:hAnsi="Times New Roman" w:eastAsia="宋体" w:cs="Times New Roman"/>
              <w:bCs/>
              <w:szCs w:val="28"/>
              <w:lang w:val="zh-CN"/>
            </w:rPr>
            <w:fldChar w:fldCharType="separate"/>
          </w:r>
          <w:r>
            <w:rPr>
              <w:rFonts w:ascii="Times New Roman" w:hAnsi="Times New Roman" w:eastAsia="宋体"/>
            </w:rPr>
            <w:t>9.</w:t>
          </w:r>
          <w:r>
            <w:rPr>
              <w:rFonts w:hint="eastAsia" w:ascii="Times New Roman" w:hAnsi="Times New Roman" w:eastAsia="宋体"/>
              <w:lang w:val="en-US" w:eastAsia="zh-CN"/>
            </w:rPr>
            <w:t>2</w:t>
          </w:r>
          <w:r>
            <w:rPr>
              <w:rFonts w:hint="eastAsia" w:ascii="Times New Roman" w:hAnsi="Times New Roman" w:eastAsia="宋体"/>
              <w:lang w:eastAsia="zh-CN"/>
            </w:rPr>
            <w:t>有组织废气监测结果</w:t>
          </w:r>
          <w:r>
            <w:tab/>
          </w:r>
          <w:r>
            <w:fldChar w:fldCharType="begin"/>
          </w:r>
          <w:r>
            <w:instrText xml:space="preserve"> PAGEREF _Toc15140 \h </w:instrText>
          </w:r>
          <w:r>
            <w:fldChar w:fldCharType="separate"/>
          </w:r>
          <w:r>
            <w:t>42</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_Toc14754 </w:instrText>
          </w:r>
          <w:r>
            <w:rPr>
              <w:rFonts w:ascii="Times New Roman" w:hAnsi="Times New Roman" w:eastAsia="宋体" w:cs="Times New Roman"/>
              <w:bCs/>
              <w:szCs w:val="28"/>
              <w:lang w:val="zh-CN"/>
            </w:rPr>
            <w:fldChar w:fldCharType="separate"/>
          </w:r>
          <w:r>
            <w:rPr>
              <w:rFonts w:ascii="Times New Roman" w:hAnsi="Times New Roman" w:eastAsia="宋体"/>
            </w:rPr>
            <w:t>9.</w:t>
          </w:r>
          <w:r>
            <w:rPr>
              <w:rFonts w:hint="eastAsia" w:ascii="Times New Roman" w:hAnsi="Times New Roman" w:eastAsia="宋体"/>
              <w:lang w:val="en-US" w:eastAsia="zh-CN"/>
            </w:rPr>
            <w:t>3</w:t>
          </w:r>
          <w:r>
            <w:rPr>
              <w:rFonts w:hint="eastAsia" w:ascii="Times New Roman" w:hAnsi="Times New Roman" w:eastAsia="宋体"/>
              <w:lang w:eastAsia="zh-CN"/>
            </w:rPr>
            <w:t>无组织废气监测结果</w:t>
          </w:r>
          <w:r>
            <w:tab/>
          </w:r>
          <w:r>
            <w:fldChar w:fldCharType="begin"/>
          </w:r>
          <w:r>
            <w:instrText xml:space="preserve"> PAGEREF _Toc14754 \h </w:instrText>
          </w:r>
          <w:r>
            <w:fldChar w:fldCharType="separate"/>
          </w:r>
          <w:r>
            <w:t>43</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_Toc31475 </w:instrText>
          </w:r>
          <w:r>
            <w:rPr>
              <w:rFonts w:ascii="Times New Roman" w:hAnsi="Times New Roman" w:eastAsia="宋体" w:cs="Times New Roman"/>
              <w:bCs/>
              <w:szCs w:val="28"/>
              <w:lang w:val="zh-CN"/>
            </w:rPr>
            <w:fldChar w:fldCharType="separate"/>
          </w:r>
          <w:r>
            <w:rPr>
              <w:rFonts w:hint="eastAsia" w:ascii="Times New Roman" w:hAnsi="Times New Roman" w:eastAsia="宋体"/>
              <w:lang w:val="en-US" w:eastAsia="zh-CN"/>
            </w:rPr>
            <w:t>9.4</w:t>
          </w:r>
          <w:r>
            <w:rPr>
              <w:rFonts w:hint="eastAsia" w:ascii="Times New Roman" w:hAnsi="Times New Roman" w:eastAsia="宋体"/>
              <w:lang w:eastAsia="zh-CN"/>
            </w:rPr>
            <w:t>厂界噪声监测结果</w:t>
          </w:r>
          <w:r>
            <w:tab/>
          </w:r>
          <w:r>
            <w:fldChar w:fldCharType="begin"/>
          </w:r>
          <w:r>
            <w:instrText xml:space="preserve"> PAGEREF _Toc31475 \h </w:instrText>
          </w:r>
          <w:r>
            <w:fldChar w:fldCharType="separate"/>
          </w:r>
          <w:r>
            <w:t>45</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_Toc17106 </w:instrText>
          </w:r>
          <w:r>
            <w:rPr>
              <w:rFonts w:ascii="Times New Roman" w:hAnsi="Times New Roman" w:eastAsia="宋体" w:cs="Times New Roman"/>
              <w:bCs/>
              <w:szCs w:val="28"/>
              <w:lang w:val="zh-CN"/>
            </w:rPr>
            <w:fldChar w:fldCharType="separate"/>
          </w:r>
          <w:r>
            <w:rPr>
              <w:rFonts w:hint="eastAsia" w:ascii="Times New Roman" w:hAnsi="Times New Roman" w:eastAsia="宋体"/>
              <w:lang w:eastAsia="zh-CN"/>
            </w:rPr>
            <w:t>9.</w:t>
          </w:r>
          <w:r>
            <w:rPr>
              <w:rFonts w:hint="eastAsia" w:ascii="Times New Roman" w:hAnsi="Times New Roman" w:eastAsia="宋体"/>
              <w:lang w:val="en-US" w:eastAsia="zh-CN"/>
            </w:rPr>
            <w:t>7</w:t>
          </w:r>
          <w:r>
            <w:rPr>
              <w:rFonts w:hint="eastAsia" w:ascii="Times New Roman" w:hAnsi="Times New Roman" w:eastAsia="宋体"/>
              <w:bCs/>
              <w:lang w:eastAsia="zh-CN"/>
            </w:rPr>
            <w:t>总量核定</w:t>
          </w:r>
          <w:r>
            <w:tab/>
          </w:r>
          <w:r>
            <w:fldChar w:fldCharType="begin"/>
          </w:r>
          <w:r>
            <w:instrText xml:space="preserve"> PAGEREF _Toc17106 \h </w:instrText>
          </w:r>
          <w:r>
            <w:fldChar w:fldCharType="separate"/>
          </w:r>
          <w:r>
            <w:t>47</w:t>
          </w:r>
          <w:r>
            <w:fldChar w:fldCharType="end"/>
          </w:r>
          <w:r>
            <w:rPr>
              <w:rFonts w:ascii="Times New Roman" w:hAnsi="Times New Roman" w:eastAsia="宋体" w:cs="Times New Roman"/>
              <w:bCs/>
              <w:color w:val="auto"/>
              <w:szCs w:val="28"/>
              <w:lang w:val="zh-CN"/>
            </w:rPr>
            <w:fldChar w:fldCharType="end"/>
          </w:r>
        </w:p>
        <w:p>
          <w:pPr>
            <w:pStyle w:val="21"/>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_Toc16693 </w:instrText>
          </w:r>
          <w:r>
            <w:rPr>
              <w:rFonts w:ascii="Times New Roman" w:hAnsi="Times New Roman" w:eastAsia="宋体" w:cs="Times New Roman"/>
              <w:bCs/>
              <w:szCs w:val="28"/>
              <w:lang w:val="zh-CN"/>
            </w:rPr>
            <w:fldChar w:fldCharType="separate"/>
          </w:r>
          <w:r>
            <w:rPr>
              <w:rFonts w:hint="eastAsia" w:ascii="Times New Roman" w:hAnsi="Times New Roman" w:eastAsia="宋体"/>
            </w:rPr>
            <w:t>9.</w:t>
          </w:r>
          <w:r>
            <w:rPr>
              <w:rFonts w:hint="eastAsia" w:ascii="Times New Roman" w:hAnsi="Times New Roman" w:eastAsia="宋体"/>
              <w:lang w:val="en-US" w:eastAsia="zh-CN"/>
            </w:rPr>
            <w:t>6</w:t>
          </w:r>
          <w:r>
            <w:rPr>
              <w:rFonts w:hint="eastAsia" w:ascii="Times New Roman" w:hAnsi="Times New Roman" w:eastAsia="宋体"/>
            </w:rPr>
            <w:t>环评审批意见落实情况</w:t>
          </w:r>
          <w:r>
            <w:tab/>
          </w:r>
          <w:r>
            <w:fldChar w:fldCharType="begin"/>
          </w:r>
          <w:r>
            <w:instrText xml:space="preserve"> PAGEREF _Toc16693 \h </w:instrText>
          </w:r>
          <w:r>
            <w:fldChar w:fldCharType="separate"/>
          </w:r>
          <w:r>
            <w:t>47</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_Toc6072 </w:instrText>
          </w:r>
          <w:r>
            <w:rPr>
              <w:rFonts w:ascii="Times New Roman" w:hAnsi="Times New Roman" w:eastAsia="宋体" w:cs="Times New Roman"/>
              <w:bCs/>
              <w:szCs w:val="28"/>
              <w:lang w:val="zh-CN"/>
            </w:rPr>
            <w:fldChar w:fldCharType="separate"/>
          </w:r>
          <w:r>
            <w:rPr>
              <w:rFonts w:ascii="Times New Roman" w:hAnsi="Times New Roman" w:eastAsia="宋体"/>
            </w:rPr>
            <w:t>十、</w:t>
          </w:r>
          <w:r>
            <w:rPr>
              <w:rFonts w:ascii="Times New Roman" w:hAnsi="Times New Roman" w:eastAsia="宋体" w:cs="Times New Roman"/>
            </w:rPr>
            <w:t>验收监测结论</w:t>
          </w:r>
          <w:r>
            <w:tab/>
          </w:r>
          <w:r>
            <w:fldChar w:fldCharType="begin"/>
          </w:r>
          <w:r>
            <w:instrText xml:space="preserve"> PAGEREF _Toc6072 \h </w:instrText>
          </w:r>
          <w:r>
            <w:fldChar w:fldCharType="separate"/>
          </w:r>
          <w:r>
            <w:t>49</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_Toc25626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4"/>
            </w:rPr>
            <w:t>十一、</w:t>
          </w:r>
          <w:r>
            <w:rPr>
              <w:rFonts w:hint="eastAsia" w:ascii="Times New Roman" w:hAnsi="Times New Roman" w:eastAsia="宋体"/>
              <w:szCs w:val="24"/>
              <w:highlight w:val="none"/>
            </w:rPr>
            <w:t>建设项目环境保护“三同时”竣工验收登记表</w:t>
          </w:r>
          <w:r>
            <w:tab/>
          </w:r>
          <w:r>
            <w:fldChar w:fldCharType="begin"/>
          </w:r>
          <w:r>
            <w:instrText xml:space="preserve"> PAGEREF _Toc25626 \h </w:instrText>
          </w:r>
          <w:r>
            <w:fldChar w:fldCharType="separate"/>
          </w:r>
          <w:r>
            <w:t>50</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_Toc101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附件</w:t>
          </w:r>
          <w:r>
            <w:rPr>
              <w:rFonts w:hint="eastAsia" w:eastAsia="宋体"/>
              <w:szCs w:val="28"/>
              <w:lang w:val="en-US" w:eastAsia="zh-CN"/>
            </w:rPr>
            <w:t>1租房协议</w:t>
          </w:r>
          <w:r>
            <w:tab/>
          </w:r>
          <w:r>
            <w:fldChar w:fldCharType="begin"/>
          </w:r>
          <w:r>
            <w:instrText xml:space="preserve"> PAGEREF _Toc101 \h </w:instrText>
          </w:r>
          <w:r>
            <w:fldChar w:fldCharType="separate"/>
          </w:r>
          <w:r>
            <w:t>51</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_Toc5025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附件2项目环评</w:t>
          </w:r>
          <w:r>
            <w:rPr>
              <w:rFonts w:hint="eastAsia" w:ascii="Times New Roman" w:hAnsi="Times New Roman" w:eastAsia="宋体"/>
              <w:szCs w:val="28"/>
              <w:lang w:eastAsia="zh-CN"/>
            </w:rPr>
            <w:t>批复</w:t>
          </w:r>
          <w:r>
            <w:tab/>
          </w:r>
          <w:r>
            <w:fldChar w:fldCharType="begin"/>
          </w:r>
          <w:r>
            <w:instrText xml:space="preserve"> PAGEREF _Toc5025 \h </w:instrText>
          </w:r>
          <w:r>
            <w:fldChar w:fldCharType="separate"/>
          </w:r>
          <w:r>
            <w:t>55</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_Toc7233 </w:instrText>
          </w:r>
          <w:r>
            <w:rPr>
              <w:rFonts w:ascii="Times New Roman" w:hAnsi="Times New Roman" w:eastAsia="宋体" w:cs="Times New Roman"/>
              <w:bCs/>
              <w:szCs w:val="28"/>
              <w:lang w:val="zh-CN"/>
            </w:rPr>
            <w:fldChar w:fldCharType="separate"/>
          </w:r>
          <w:r>
            <w:rPr>
              <w:rFonts w:hint="eastAsia" w:ascii="Times New Roman" w:hAnsi="Times New Roman" w:eastAsia="宋体"/>
              <w:szCs w:val="28"/>
            </w:rPr>
            <w:t>附件</w:t>
          </w:r>
          <w:r>
            <w:rPr>
              <w:rFonts w:hint="eastAsia" w:ascii="Times New Roman" w:hAnsi="Times New Roman" w:eastAsia="宋体"/>
              <w:szCs w:val="28"/>
              <w:lang w:val="en-US" w:eastAsia="zh-CN"/>
            </w:rPr>
            <w:t>4</w:t>
          </w:r>
          <w:r>
            <w:rPr>
              <w:rFonts w:hint="eastAsia" w:ascii="Times New Roman" w:hAnsi="Times New Roman" w:eastAsia="宋体"/>
              <w:szCs w:val="28"/>
              <w:lang w:eastAsia="zh-CN"/>
            </w:rPr>
            <w:t>危废协议</w:t>
          </w:r>
          <w:r>
            <w:tab/>
          </w:r>
          <w:r>
            <w:fldChar w:fldCharType="begin"/>
          </w:r>
          <w:r>
            <w:instrText xml:space="preserve"> PAGEREF _Toc7233 \h </w:instrText>
          </w:r>
          <w:r>
            <w:fldChar w:fldCharType="separate"/>
          </w:r>
          <w:r>
            <w:t>69</w:t>
          </w:r>
          <w:r>
            <w:fldChar w:fldCharType="end"/>
          </w:r>
          <w:r>
            <w:rPr>
              <w:rFonts w:ascii="Times New Roman" w:hAnsi="Times New Roman" w:eastAsia="宋体" w:cs="Times New Roman"/>
              <w:bCs/>
              <w:color w:val="auto"/>
              <w:szCs w:val="28"/>
              <w:lang w:val="zh-CN"/>
            </w:rPr>
            <w:fldChar w:fldCharType="end"/>
          </w:r>
        </w:p>
        <w:p>
          <w:pPr>
            <w:pStyle w:val="19"/>
            <w:tabs>
              <w:tab w:val="right" w:leader="dot" w:pos="9184"/>
            </w:tabs>
          </w:pPr>
          <w:r>
            <w:rPr>
              <w:rFonts w:ascii="Times New Roman" w:hAnsi="Times New Roman" w:eastAsia="宋体" w:cs="Times New Roman"/>
              <w:bCs/>
              <w:color w:val="auto"/>
              <w:szCs w:val="28"/>
              <w:lang w:val="zh-CN"/>
            </w:rPr>
            <w:fldChar w:fldCharType="begin"/>
          </w:r>
          <w:r>
            <w:rPr>
              <w:rFonts w:ascii="Times New Roman" w:hAnsi="Times New Roman" w:eastAsia="宋体" w:cs="Times New Roman"/>
              <w:bCs/>
              <w:szCs w:val="28"/>
              <w:lang w:val="zh-CN"/>
            </w:rPr>
            <w:instrText xml:space="preserve"> HYPERLINK \l _Toc2903 </w:instrText>
          </w:r>
          <w:r>
            <w:rPr>
              <w:rFonts w:ascii="Times New Roman" w:hAnsi="Times New Roman" w:eastAsia="宋体" w:cs="Times New Roman"/>
              <w:bCs/>
              <w:szCs w:val="28"/>
              <w:lang w:val="zh-CN"/>
            </w:rPr>
            <w:fldChar w:fldCharType="separate"/>
          </w:r>
          <w:r>
            <w:rPr>
              <w:rFonts w:hint="eastAsia" w:ascii="Times New Roman" w:hAnsi="Times New Roman" w:eastAsia="宋体"/>
              <w:bCs/>
              <w:szCs w:val="28"/>
              <w:lang w:eastAsia="zh-CN"/>
            </w:rPr>
            <w:t>附件</w:t>
          </w:r>
          <w:r>
            <w:rPr>
              <w:rFonts w:hint="eastAsia" w:ascii="Times New Roman" w:hAnsi="Times New Roman"/>
              <w:bCs/>
              <w:szCs w:val="28"/>
              <w:lang w:val="en-US" w:eastAsia="zh-CN"/>
            </w:rPr>
            <w:t>5活性炭发票</w:t>
          </w:r>
          <w:r>
            <w:tab/>
          </w:r>
          <w:r>
            <w:fldChar w:fldCharType="begin"/>
          </w:r>
          <w:r>
            <w:instrText xml:space="preserve"> PAGEREF _Toc2903 \h </w:instrText>
          </w:r>
          <w:r>
            <w:fldChar w:fldCharType="separate"/>
          </w:r>
          <w:r>
            <w:t>76</w:t>
          </w:r>
          <w:r>
            <w:fldChar w:fldCharType="end"/>
          </w:r>
          <w:r>
            <w:rPr>
              <w:rFonts w:ascii="Times New Roman" w:hAnsi="Times New Roman" w:eastAsia="宋体" w:cs="Times New Roman"/>
              <w:bCs/>
              <w:color w:val="auto"/>
              <w:szCs w:val="28"/>
              <w:lang w:val="zh-CN"/>
            </w:rPr>
            <w:fldChar w:fldCharType="end"/>
          </w:r>
        </w:p>
        <w:p>
          <w:pPr>
            <w:tabs>
              <w:tab w:val="left" w:pos="5554"/>
            </w:tabs>
            <w:spacing w:line="380" w:lineRule="exact"/>
            <w:rPr>
              <w:rFonts w:hint="default" w:ascii="Times New Roman" w:hAnsi="Times New Roman" w:eastAsia="宋体" w:cs="宋体"/>
              <w:b/>
              <w:bCs/>
              <w:color w:val="auto"/>
              <w:sz w:val="44"/>
              <w:szCs w:val="44"/>
              <w:lang w:val="en-US" w:eastAsia="zh-CN"/>
            </w:rPr>
            <w:sectPr>
              <w:headerReference r:id="rId3" w:type="default"/>
              <w:footerReference r:id="rId4" w:type="default"/>
              <w:pgSz w:w="11906" w:h="16838"/>
              <w:pgMar w:top="1361" w:right="1361" w:bottom="1361" w:left="1361" w:header="851" w:footer="737" w:gutter="0"/>
              <w:pgBorders>
                <w:top w:val="none" w:sz="0" w:space="0"/>
                <w:left w:val="none" w:sz="0" w:space="0"/>
                <w:bottom w:val="none" w:sz="0" w:space="0"/>
                <w:right w:val="none" w:sz="0" w:space="0"/>
              </w:pgBorders>
              <w:pgNumType w:fmt="upperRoman" w:start="1"/>
              <w:cols w:space="0" w:num="1"/>
              <w:rtlGutter w:val="0"/>
              <w:docGrid w:type="lines" w:linePitch="312" w:charSpace="0"/>
            </w:sectPr>
          </w:pPr>
          <w:r>
            <w:rPr>
              <w:rFonts w:ascii="Times New Roman" w:hAnsi="Times New Roman" w:eastAsia="宋体" w:cs="Times New Roman"/>
              <w:bCs/>
              <w:color w:val="auto"/>
              <w:szCs w:val="28"/>
              <w:lang w:val="zh-CN"/>
            </w:rPr>
            <w:fldChar w:fldCharType="end"/>
          </w:r>
        </w:p>
      </w:sdtContent>
    </w:sdt>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0" w:name="_Toc18259"/>
      <w:r>
        <w:rPr>
          <w:rFonts w:ascii="Times New Roman" w:hAnsi="Times New Roman" w:eastAsia="宋体"/>
          <w:color w:val="auto"/>
        </w:rPr>
        <w:t>一、</w:t>
      </w:r>
      <w:r>
        <w:rPr>
          <w:rFonts w:hint="eastAsia" w:ascii="Times New Roman" w:hAnsi="Times New Roman" w:eastAsia="宋体"/>
          <w:color w:val="auto"/>
        </w:rPr>
        <w:t>前言</w:t>
      </w:r>
      <w:bookmarkEnd w:id="0"/>
    </w:p>
    <w:p>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近年来，随着塑料制品在各类产品包装、运输、保存等领域应用的日益推广，市场需求迅速增长，但市场竞争亦日趋激烈，部分企业加强了产品开发力度，品种不断增加，质量明显提高，部分产品已经能够走出国门，进入欧美等发达国家市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随着我国塑料工业的迅速发展，塑料制品的广泛使用，废弃塑料制品对环境造成的污染也日益严重，每年数千万吨的塑料垃圾给生态环境及经济发展带来的破坏和损失已成为亟待解决的社会问题。目前全世界塑料的消费量很高，但废弃的塑料只有很少部分被利用，大部分被随意丢弃，造成资源的浪费和环境污染。因此建设规范的废弃塑料再生加工中心，可以解决目前国内塑料资源短缺、废旧塑料加工分散、无序经营带来的污染环境、危害健康和浪费资源现象，其回收利用技术有着广阔的前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基于上述市场前景，合肥皖玻塑业有限公司在合肥市长丰县庄墓镇合淮路东侧建设“</w:t>
      </w:r>
      <w:r>
        <w:rPr>
          <w:rFonts w:hint="default" w:ascii="Times New Roman" w:hAnsi="Times New Roman" w:eastAsia="宋体" w:cs="Times New Roman"/>
          <w:kern w:val="0"/>
          <w:sz w:val="24"/>
          <w:szCs w:val="24"/>
        </w:rPr>
        <w:t>年产8000吨再生塑料颗粒生产项目</w:t>
      </w:r>
      <w:r>
        <w:rPr>
          <w:rFonts w:hint="default" w:ascii="Times New Roman" w:hAnsi="Times New Roman" w:eastAsia="宋体" w:cs="Times New Roman"/>
          <w:sz w:val="24"/>
          <w:szCs w:val="24"/>
        </w:rPr>
        <w:t>”。项目系租赁合肥安玻节能玻璃技术有限公司2#空置厂房东北侧部分进行生产，租赁厂房面积5916m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，新建6条再生塑料颗粒生产线，配套建设环保、消防等辅助生产设施。项目建成后，可实现年产8000吨再生塑料颗粒。</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default" w:ascii="Times New Roman" w:hAnsi="Times New Roman" w:eastAsia="宋体"/>
          <w:b/>
          <w:bCs/>
          <w:color w:val="auto"/>
          <w:lang w:val="en-US" w:eastAsia="zh-CN"/>
        </w:rPr>
      </w:pPr>
      <w:r>
        <w:rPr>
          <w:rFonts w:hint="eastAsia" w:ascii="Times New Roman" w:hAnsi="Times New Roman" w:eastAsia="宋体" w:cs="Times New Roman"/>
          <w:b/>
          <w:bCs/>
          <w:sz w:val="24"/>
          <w:szCs w:val="24"/>
          <w:lang w:val="en-US" w:eastAsia="zh-CN"/>
        </w:rPr>
        <w:t>实际租赁厂房面积2800</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r>
        <w:rPr>
          <w:rFonts w:hint="eastAsia" w:ascii="Times New Roman" w:hAnsi="Times New Roman" w:eastAsia="宋体" w:cs="Times New Roman"/>
          <w:b/>
          <w:bCs/>
          <w:sz w:val="24"/>
          <w:szCs w:val="24"/>
          <w:lang w:eastAsia="zh-CN"/>
        </w:rPr>
        <w:t>目</w:t>
      </w:r>
      <w:r>
        <w:rPr>
          <w:rFonts w:hint="eastAsia" w:ascii="Times New Roman" w:hAnsi="Times New Roman" w:eastAsia="宋体" w:cs="Times New Roman"/>
          <w:b/>
          <w:bCs/>
          <w:color w:val="auto"/>
          <w:sz w:val="24"/>
          <w:szCs w:val="24"/>
          <w:lang w:eastAsia="zh-CN"/>
        </w:rPr>
        <w:t>前已建成</w:t>
      </w:r>
      <w:r>
        <w:rPr>
          <w:rFonts w:hint="eastAsia" w:ascii="Times New Roman" w:hAnsi="Times New Roman" w:eastAsia="宋体" w:cs="Times New Roman"/>
          <w:b/>
          <w:bCs/>
          <w:color w:val="auto"/>
          <w:sz w:val="24"/>
          <w:szCs w:val="24"/>
          <w:lang w:val="en-US" w:eastAsia="zh-CN"/>
        </w:rPr>
        <w:t>1条再生塑料颗粒生产线以及配套的辅助设施及环保设施，所以本次对以上项目进行阶段性竣工验收。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color w:val="auto"/>
          <w:sz w:val="24"/>
          <w:szCs w:val="24"/>
        </w:rPr>
        <w:t>201</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01</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29</w:t>
      </w:r>
      <w:r>
        <w:rPr>
          <w:rFonts w:ascii="Times New Roman" w:hAnsi="Times New Roman" w:eastAsia="宋体" w:cs="Times New Roman"/>
          <w:color w:val="auto"/>
          <w:sz w:val="24"/>
          <w:szCs w:val="24"/>
        </w:rPr>
        <w:t>日</w:t>
      </w:r>
      <w:r>
        <w:rPr>
          <w:rFonts w:hint="eastAsia" w:ascii="Times New Roman" w:hAnsi="Times New Roman" w:eastAsia="宋体"/>
          <w:color w:val="auto"/>
          <w:sz w:val="24"/>
          <w:szCs w:val="24"/>
        </w:rPr>
        <w:t>，</w:t>
      </w:r>
      <w:r>
        <w:rPr>
          <w:rFonts w:hint="default" w:ascii="Times New Roman" w:hAnsi="Times New Roman" w:eastAsia="宋体" w:cs="Times New Roman"/>
          <w:sz w:val="24"/>
          <w:szCs w:val="24"/>
        </w:rPr>
        <w:t>长丰县发展和改革委员会</w:t>
      </w:r>
      <w:r>
        <w:rPr>
          <w:rFonts w:hint="eastAsia" w:ascii="Times New Roman" w:hAnsi="Times New Roman" w:eastAsia="宋体" w:cs="Times New Roman"/>
          <w:sz w:val="24"/>
          <w:szCs w:val="24"/>
          <w:lang w:eastAsia="zh-CN"/>
        </w:rPr>
        <w:t>以</w:t>
      </w:r>
      <w:r>
        <w:rPr>
          <w:rFonts w:hint="default" w:ascii="Times New Roman" w:hAnsi="Times New Roman" w:eastAsia="宋体" w:cs="Times New Roman"/>
          <w:sz w:val="24"/>
          <w:szCs w:val="24"/>
        </w:rPr>
        <w:t>项目编码</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2019-340121-29-03-002265</w:t>
      </w:r>
      <w:r>
        <w:rPr>
          <w:rFonts w:hint="eastAsia" w:ascii="Times New Roman" w:hAnsi="Times New Roman" w:eastAsia="宋体"/>
          <w:sz w:val="24"/>
          <w:szCs w:val="24"/>
        </w:rPr>
        <w:t>对该项目进行备案</w:t>
      </w:r>
      <w:r>
        <w:rPr>
          <w:rFonts w:ascii="Times New Roman" w:hAnsi="Times New Roman" w:eastAsia="宋体"/>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19</w:t>
      </w:r>
      <w:r>
        <w:rPr>
          <w:rFonts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月，建设单位委托</w:t>
      </w:r>
      <w:r>
        <w:rPr>
          <w:rFonts w:hint="eastAsia" w:ascii="Times New Roman" w:hAnsi="Times New Roman" w:eastAsia="宋体" w:cs="Times New Roman"/>
          <w:sz w:val="24"/>
          <w:szCs w:val="24"/>
        </w:rPr>
        <w:t>安徽</w:t>
      </w:r>
      <w:r>
        <w:rPr>
          <w:rFonts w:hint="eastAsia" w:ascii="Times New Roman" w:hAnsi="Times New Roman" w:eastAsia="宋体" w:cs="Times New Roman"/>
          <w:sz w:val="24"/>
          <w:szCs w:val="24"/>
          <w:lang w:eastAsia="zh-CN"/>
        </w:rPr>
        <w:t>显闰环境工程有限公司</w:t>
      </w:r>
      <w:r>
        <w:rPr>
          <w:rFonts w:ascii="Times New Roman" w:hAnsi="Times New Roman" w:eastAsia="宋体" w:cs="Times New Roman"/>
          <w:sz w:val="24"/>
          <w:szCs w:val="24"/>
        </w:rPr>
        <w:t>编制完成《</w:t>
      </w:r>
      <w:r>
        <w:rPr>
          <w:rFonts w:hint="eastAsia" w:ascii="Times New Roman" w:hAnsi="Times New Roman" w:eastAsia="宋体" w:cs="Times New Roman"/>
          <w:sz w:val="24"/>
          <w:szCs w:val="24"/>
          <w:lang w:eastAsia="zh-CN"/>
        </w:rPr>
        <w:t>合肥皖玻塑业有限公司年产8000吨再生塑料颗粒生产项目</w:t>
      </w:r>
      <w:r>
        <w:rPr>
          <w:rFonts w:ascii="Times New Roman" w:hAnsi="Times New Roman" w:eastAsia="宋体" w:cs="Times New Roman"/>
          <w:sz w:val="24"/>
          <w:szCs w:val="24"/>
        </w:rPr>
        <w:t>环境影响报告书》</w:t>
      </w:r>
      <w:r>
        <w:rPr>
          <w:rFonts w:hint="eastAsia"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ascii="Times New Roman" w:hAnsi="Times New Roman" w:eastAsia="宋体" w:cs="Times New Roman"/>
          <w:sz w:val="24"/>
          <w:szCs w:val="24"/>
        </w:rPr>
        <w:t>2019年</w:t>
      </w:r>
      <w:r>
        <w:rPr>
          <w:rFonts w:hint="eastAsia" w:ascii="Times New Roman" w:hAnsi="Times New Roman" w:eastAsia="宋体" w:cs="Times New Roman"/>
          <w:sz w:val="24"/>
          <w:szCs w:val="24"/>
          <w:lang w:val="en-US" w:eastAsia="zh-CN"/>
        </w:rPr>
        <w:t>5</w:t>
      </w:r>
      <w:r>
        <w:rPr>
          <w:rFonts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27</w:t>
      </w:r>
      <w:r>
        <w:rPr>
          <w:rFonts w:ascii="Times New Roman" w:hAnsi="Times New Roman" w:eastAsia="宋体" w:cs="Times New Roman"/>
          <w:sz w:val="24"/>
          <w:szCs w:val="24"/>
        </w:rPr>
        <w:t>日</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eastAsia="zh-CN"/>
        </w:rPr>
        <w:t>长丰县环境保护局</w:t>
      </w:r>
      <w:r>
        <w:rPr>
          <w:rFonts w:ascii="Times New Roman" w:hAnsi="Times New Roman" w:eastAsia="宋体" w:cs="Times New Roman"/>
          <w:sz w:val="24"/>
          <w:szCs w:val="24"/>
        </w:rPr>
        <w:t>以</w:t>
      </w:r>
      <w:r>
        <w:rPr>
          <w:rFonts w:hint="eastAsia" w:ascii="Times New Roman" w:hAnsi="Times New Roman" w:eastAsia="宋体" w:cs="Times New Roman"/>
          <w:sz w:val="24"/>
          <w:szCs w:val="24"/>
        </w:rPr>
        <w:t>“</w:t>
      </w:r>
      <w:r>
        <w:rPr>
          <w:rFonts w:hint="eastAsia" w:ascii="Times New Roman" w:hAnsi="Times New Roman" w:eastAsia="宋体"/>
          <w:color w:val="000000" w:themeColor="text1"/>
          <w:sz w:val="24"/>
          <w:szCs w:val="24"/>
          <w:lang w:eastAsia="zh-CN"/>
          <w14:textFill>
            <w14:solidFill>
              <w14:schemeClr w14:val="tx1"/>
            </w14:solidFill>
          </w14:textFill>
        </w:rPr>
        <w:t>长环建</w:t>
      </w:r>
      <w:r>
        <w:rPr>
          <w:rFonts w:hint="eastAsia" w:ascii="Times New Roman" w:hAnsi="Times New Roman" w:eastAsia="宋体"/>
          <w:color w:val="000000" w:themeColor="text1"/>
          <w:sz w:val="24"/>
          <w:szCs w:val="24"/>
          <w14:textFill>
            <w14:solidFill>
              <w14:schemeClr w14:val="tx1"/>
            </w14:solidFill>
          </w14:textFill>
        </w:rPr>
        <w:t>[2019]</w:t>
      </w:r>
      <w:r>
        <w:rPr>
          <w:rFonts w:hint="eastAsia" w:ascii="Times New Roman" w:hAnsi="Times New Roman" w:eastAsia="宋体"/>
          <w:color w:val="000000" w:themeColor="text1"/>
          <w:sz w:val="24"/>
          <w:szCs w:val="24"/>
          <w:lang w:val="en-US" w:eastAsia="zh-CN"/>
          <w14:textFill>
            <w14:solidFill>
              <w14:schemeClr w14:val="tx1"/>
            </w14:solidFill>
          </w14:textFill>
        </w:rPr>
        <w:t>95</w:t>
      </w:r>
      <w:r>
        <w:rPr>
          <w:rFonts w:hint="eastAsia" w:ascii="Times New Roman" w:hAnsi="Times New Roman" w:eastAsia="宋体"/>
          <w:color w:val="000000" w:themeColor="text1"/>
          <w:sz w:val="24"/>
          <w:szCs w:val="24"/>
          <w14:textFill>
            <w14:solidFill>
              <w14:schemeClr w14:val="tx1"/>
            </w14:solidFill>
          </w14:textFill>
        </w:rPr>
        <w:t>号</w:t>
      </w:r>
      <w:r>
        <w:rPr>
          <w:rFonts w:hint="eastAsia" w:ascii="Times New Roman" w:hAnsi="Times New Roman" w:eastAsia="宋体" w:cs="Times New Roman"/>
          <w:sz w:val="24"/>
          <w:szCs w:val="24"/>
        </w:rPr>
        <w:t>”</w:t>
      </w:r>
      <w:r>
        <w:rPr>
          <w:rFonts w:ascii="Times New Roman" w:hAnsi="Times New Roman" w:eastAsia="宋体" w:cs="Times New Roman"/>
          <w:sz w:val="24"/>
          <w:szCs w:val="24"/>
        </w:rPr>
        <w:t>文对</w:t>
      </w:r>
      <w:r>
        <w:rPr>
          <w:rFonts w:hint="eastAsia" w:ascii="Times New Roman" w:hAnsi="Times New Roman" w:eastAsia="宋体" w:cs="Times New Roman"/>
          <w:sz w:val="24"/>
          <w:szCs w:val="24"/>
        </w:rPr>
        <w:t>本</w:t>
      </w:r>
      <w:r>
        <w:rPr>
          <w:rFonts w:ascii="Times New Roman" w:hAnsi="Times New Roman" w:eastAsia="宋体" w:cs="Times New Roman"/>
          <w:sz w:val="24"/>
          <w:szCs w:val="24"/>
        </w:rPr>
        <w:t>项目</w:t>
      </w:r>
      <w:r>
        <w:rPr>
          <w:rFonts w:hint="eastAsia" w:ascii="Times New Roman" w:hAnsi="Times New Roman" w:eastAsia="宋体" w:cs="Times New Roman"/>
          <w:sz w:val="24"/>
          <w:szCs w:val="24"/>
        </w:rPr>
        <w:t>环境影响报告书出具批复的函</w:t>
      </w:r>
      <w:r>
        <w:rPr>
          <w:rFonts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sz w:val="24"/>
          <w:szCs w:val="24"/>
        </w:rPr>
      </w:pPr>
      <w:r>
        <w:rPr>
          <w:rFonts w:hint="eastAsia" w:ascii="Times New Roman" w:hAnsi="Times New Roman" w:eastAsia="宋体" w:cs="Times New Roman"/>
          <w:color w:val="auto"/>
          <w:sz w:val="24"/>
          <w:szCs w:val="24"/>
          <w:highlight w:val="none"/>
        </w:rPr>
        <w:t>2019年</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rPr>
        <w:t>月</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本</w:t>
      </w:r>
      <w:r>
        <w:rPr>
          <w:rFonts w:ascii="Times New Roman" w:hAnsi="Times New Roman" w:eastAsia="宋体" w:cs="Times New Roman"/>
          <w:color w:val="auto"/>
          <w:sz w:val="24"/>
          <w:szCs w:val="24"/>
          <w:highlight w:val="none"/>
        </w:rPr>
        <w:t>项目</w:t>
      </w:r>
      <w:r>
        <w:rPr>
          <w:rFonts w:hint="eastAsia" w:ascii="Times New Roman" w:hAnsi="Times New Roman" w:eastAsia="宋体" w:cs="Times New Roman"/>
          <w:color w:val="auto"/>
          <w:sz w:val="24"/>
          <w:szCs w:val="24"/>
          <w:highlight w:val="none"/>
        </w:rPr>
        <w:t>开工建设</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2020年</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rPr>
        <w:t>月</w:t>
      </w:r>
      <w:r>
        <w:rPr>
          <w:rFonts w:ascii="Times New Roman" w:hAnsi="Times New Roman" w:eastAsia="宋体" w:cs="Times New Roman"/>
          <w:color w:val="auto"/>
          <w:sz w:val="24"/>
          <w:szCs w:val="24"/>
          <w:highlight w:val="none"/>
        </w:rPr>
        <w:t>项目</w:t>
      </w:r>
      <w:r>
        <w:rPr>
          <w:rFonts w:hint="eastAsia" w:ascii="Times New Roman" w:hAnsi="Times New Roman" w:eastAsia="宋体" w:cs="Times New Roman"/>
          <w:color w:val="auto"/>
          <w:sz w:val="24"/>
          <w:szCs w:val="24"/>
          <w:highlight w:val="none"/>
        </w:rPr>
        <w:t>工程</w:t>
      </w:r>
      <w:r>
        <w:rPr>
          <w:rFonts w:ascii="Times New Roman" w:hAnsi="Times New Roman" w:eastAsia="宋体" w:cs="Times New Roman"/>
          <w:color w:val="auto"/>
          <w:sz w:val="24"/>
          <w:szCs w:val="24"/>
          <w:highlight w:val="none"/>
        </w:rPr>
        <w:t>竣</w:t>
      </w:r>
      <w:r>
        <w:rPr>
          <w:rFonts w:ascii="Times New Roman" w:hAnsi="Times New Roman" w:eastAsia="宋体" w:cs="Times New Roman"/>
          <w:sz w:val="24"/>
          <w:szCs w:val="24"/>
        </w:rPr>
        <w:t>工</w:t>
      </w:r>
      <w:r>
        <w:rPr>
          <w:rFonts w:hint="eastAsia"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ascii="Times New Roman" w:hAnsi="Times New Roman" w:eastAsia="宋体" w:cs="Times New Roman"/>
          <w:color w:val="auto"/>
          <w:spacing w:val="-6"/>
          <w:sz w:val="24"/>
          <w:szCs w:val="24"/>
        </w:rPr>
      </w:pPr>
      <w:r>
        <w:rPr>
          <w:rFonts w:ascii="Times New Roman" w:hAnsi="Times New Roman" w:eastAsia="宋体" w:cs="Times New Roman"/>
          <w:spacing w:val="-6"/>
          <w:sz w:val="24"/>
          <w:szCs w:val="24"/>
        </w:rPr>
        <w:t>根据《建设项目环境保护管理条例》（国务院第682号令）、</w:t>
      </w:r>
      <w:r>
        <w:rPr>
          <w:rStyle w:val="72"/>
          <w:rFonts w:hint="default" w:ascii="Times New Roman" w:hAnsi="Times New Roman" w:eastAsia="宋体" w:cs="Times New Roman"/>
        </w:rPr>
        <w:t>《建设项目竣工环境保护验收暂行办法》（试行）（</w:t>
      </w:r>
      <w:r>
        <w:rPr>
          <w:rFonts w:ascii="Times New Roman" w:hAnsi="Times New Roman" w:eastAsia="宋体" w:cs="Times New Roman"/>
          <w:spacing w:val="-6"/>
          <w:sz w:val="24"/>
          <w:szCs w:val="24"/>
        </w:rPr>
        <w:t>国环规环评[2017]4号文），</w:t>
      </w:r>
      <w:r>
        <w:rPr>
          <w:rFonts w:hint="eastAsia" w:ascii="Times New Roman" w:hAnsi="Times New Roman" w:eastAsia="宋体" w:cs="Times New Roman"/>
          <w:sz w:val="24"/>
          <w:szCs w:val="24"/>
          <w:lang w:eastAsia="zh-CN"/>
        </w:rPr>
        <w:t>合肥皖玻塑业</w:t>
      </w:r>
      <w:r>
        <w:rPr>
          <w:rFonts w:hint="eastAsia" w:ascii="Times New Roman" w:hAnsi="Times New Roman" w:eastAsia="宋体" w:cs="Times New Roman"/>
          <w:sz w:val="24"/>
          <w:szCs w:val="24"/>
          <w:lang w:val="en-US" w:eastAsia="zh-CN"/>
        </w:rPr>
        <w:t>有限公司</w:t>
      </w:r>
      <w:r>
        <w:rPr>
          <w:rFonts w:hint="eastAsia" w:ascii="Times New Roman" w:hAnsi="Times New Roman" w:eastAsia="宋体" w:cs="Times New Roman"/>
          <w:spacing w:val="-6"/>
          <w:sz w:val="24"/>
          <w:szCs w:val="24"/>
          <w:lang w:eastAsia="zh-CN"/>
        </w:rPr>
        <w:t>进行</w:t>
      </w:r>
      <w:r>
        <w:rPr>
          <w:rFonts w:hint="eastAsia" w:ascii="Times New Roman" w:hAnsi="Times New Roman" w:eastAsia="宋体" w:cs="Times New Roman"/>
          <w:color w:val="auto"/>
          <w:sz w:val="24"/>
          <w:szCs w:val="24"/>
          <w:highlight w:val="none"/>
          <w:lang w:eastAsia="zh-CN"/>
        </w:rPr>
        <w:t>已建成的</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条再生塑料颗粒生产线</w:t>
      </w:r>
      <w:r>
        <w:rPr>
          <w:rFonts w:ascii="Times New Roman" w:hAnsi="Times New Roman" w:eastAsia="宋体" w:cs="Times New Roman"/>
          <w:color w:val="auto"/>
          <w:spacing w:val="-6"/>
          <w:sz w:val="24"/>
          <w:szCs w:val="24"/>
          <w:highlight w:val="none"/>
        </w:rPr>
        <w:t>环境保护设施的落实及运行情况</w:t>
      </w:r>
      <w:r>
        <w:rPr>
          <w:rFonts w:hint="eastAsia" w:ascii="Times New Roman" w:hAnsi="Times New Roman" w:eastAsia="宋体" w:cs="Times New Roman"/>
          <w:color w:val="auto"/>
          <w:spacing w:val="-6"/>
          <w:sz w:val="24"/>
          <w:szCs w:val="24"/>
          <w:highlight w:val="none"/>
          <w:lang w:eastAsia="zh-CN"/>
        </w:rPr>
        <w:t>，</w:t>
      </w:r>
      <w:r>
        <w:rPr>
          <w:rFonts w:ascii="Times New Roman" w:hAnsi="Times New Roman" w:eastAsia="宋体" w:cs="Times New Roman"/>
          <w:color w:val="auto"/>
          <w:spacing w:val="-6"/>
          <w:sz w:val="24"/>
          <w:szCs w:val="24"/>
          <w:highlight w:val="none"/>
        </w:rPr>
        <w:t>结合实地踏勘，</w:t>
      </w:r>
      <w:r>
        <w:rPr>
          <w:rFonts w:ascii="Times New Roman" w:hAnsi="Times New Roman" w:eastAsia="宋体" w:cs="Times New Roman"/>
          <w:color w:val="auto"/>
          <w:spacing w:val="-6"/>
          <w:sz w:val="24"/>
          <w:szCs w:val="24"/>
        </w:rPr>
        <w:t>查阅有关文件和技术资料，</w:t>
      </w:r>
      <w:r>
        <w:rPr>
          <w:rFonts w:hint="eastAsia" w:ascii="Times New Roman" w:hAnsi="Times New Roman" w:eastAsia="宋体"/>
          <w:color w:val="auto"/>
          <w:sz w:val="24"/>
          <w:highlight w:val="none"/>
        </w:rPr>
        <w:t>制定了</w:t>
      </w:r>
      <w:r>
        <w:rPr>
          <w:rFonts w:hint="eastAsia" w:ascii="Times New Roman" w:hAnsi="Times New Roman" w:eastAsia="宋体"/>
          <w:color w:val="auto"/>
          <w:sz w:val="24"/>
          <w:highlight w:val="none"/>
          <w:lang w:eastAsia="zh-CN"/>
        </w:rPr>
        <w:t>阶段性</w:t>
      </w:r>
      <w:r>
        <w:rPr>
          <w:rFonts w:ascii="Times New Roman" w:hAnsi="Times New Roman" w:eastAsia="宋体" w:cs="Times New Roman"/>
          <w:color w:val="auto"/>
          <w:spacing w:val="-6"/>
          <w:sz w:val="24"/>
          <w:szCs w:val="24"/>
        </w:rPr>
        <w:t>竣工环境保护验收监测方案。</w:t>
      </w:r>
      <w:r>
        <w:rPr>
          <w:rFonts w:hint="eastAsia" w:ascii="Times New Roman" w:hAnsi="Times New Roman" w:eastAsia="宋体" w:cs="Times New Roman"/>
          <w:color w:val="000000" w:themeColor="text1"/>
          <w:spacing w:val="-6"/>
          <w:sz w:val="24"/>
          <w:szCs w:val="24"/>
          <w14:textFill>
            <w14:solidFill>
              <w14:schemeClr w14:val="tx1"/>
            </w14:solidFill>
          </w14:textFill>
        </w:rPr>
        <w:t>安徽尚德谱检测技术有限责任公司</w:t>
      </w:r>
      <w:r>
        <w:rPr>
          <w:rFonts w:hint="eastAsia" w:ascii="Times New Roman" w:hAnsi="Times New Roman" w:eastAsia="宋体" w:cs="Times New Roman"/>
          <w:color w:val="000000" w:themeColor="text1"/>
          <w:spacing w:val="-6"/>
          <w:sz w:val="24"/>
          <w:szCs w:val="24"/>
          <w:lang w:eastAsia="zh-CN"/>
          <w14:textFill>
            <w14:solidFill>
              <w14:schemeClr w14:val="tx1"/>
            </w14:solidFill>
          </w14:textFill>
        </w:rPr>
        <w:t>于</w:t>
      </w:r>
      <w:r>
        <w:rPr>
          <w:rFonts w:hint="eastAsia" w:ascii="Times New Roman" w:hAnsi="Times New Roman" w:eastAsia="宋体" w:cs="Times New Roman"/>
          <w:color w:val="000000" w:themeColor="text1"/>
          <w:spacing w:val="-6"/>
          <w:sz w:val="24"/>
          <w:szCs w:val="24"/>
          <w14:textFill>
            <w14:solidFill>
              <w14:schemeClr w14:val="tx1"/>
            </w14:solidFill>
          </w14:textFill>
        </w:rPr>
        <w:t>20</w:t>
      </w:r>
      <w:r>
        <w:rPr>
          <w:rFonts w:hint="eastAsia" w:ascii="Times New Roman" w:hAnsi="Times New Roman" w:eastAsia="宋体" w:cs="Times New Roman"/>
          <w:color w:val="000000" w:themeColor="text1"/>
          <w:spacing w:val="-6"/>
          <w:sz w:val="24"/>
          <w:szCs w:val="24"/>
          <w:lang w:val="en-US" w:eastAsia="zh-CN"/>
          <w14:textFill>
            <w14:solidFill>
              <w14:schemeClr w14:val="tx1"/>
            </w14:solidFill>
          </w14:textFill>
        </w:rPr>
        <w:t>21年11月</w:t>
      </w:r>
      <w:r>
        <w:rPr>
          <w:rFonts w:hint="eastAsia" w:ascii="Times New Roman" w:hAnsi="Times New Roman" w:eastAsia="宋体" w:cs="Times New Roman"/>
          <w:color w:val="000000" w:themeColor="text1"/>
          <w:spacing w:val="-6"/>
          <w:sz w:val="24"/>
          <w:szCs w:val="24"/>
          <w14:textFill>
            <w14:solidFill>
              <w14:schemeClr w14:val="tx1"/>
            </w14:solidFill>
          </w14:textFill>
        </w:rPr>
        <w:t>进行了现场监测</w:t>
      </w:r>
      <w:r>
        <w:rPr>
          <w:rFonts w:hint="eastAsia" w:ascii="Times New Roman" w:hAnsi="Times New Roman" w:eastAsia="宋体" w:cs="Times New Roman"/>
          <w:color w:val="auto"/>
          <w:spacing w:val="-6"/>
          <w:sz w:val="24"/>
          <w:szCs w:val="24"/>
        </w:rPr>
        <w:t>，</w:t>
      </w:r>
      <w:r>
        <w:rPr>
          <w:rFonts w:hint="eastAsia" w:ascii="Times New Roman" w:hAnsi="Times New Roman" w:eastAsia="宋体" w:cs="Times New Roman"/>
          <w:color w:val="auto"/>
          <w:spacing w:val="-6"/>
          <w:sz w:val="24"/>
          <w:szCs w:val="24"/>
          <w:lang w:val="en-US" w:eastAsia="zh-CN"/>
        </w:rPr>
        <w:t>安徽皖玻塑业</w:t>
      </w:r>
      <w:r>
        <w:rPr>
          <w:rFonts w:hint="eastAsia" w:ascii="Times New Roman" w:hAnsi="Times New Roman" w:eastAsia="宋体" w:cs="Times New Roman"/>
          <w:color w:val="auto"/>
          <w:spacing w:val="-6"/>
          <w:sz w:val="24"/>
          <w:szCs w:val="24"/>
          <w:lang w:eastAsia="zh-CN"/>
        </w:rPr>
        <w:t>有限公司</w:t>
      </w:r>
      <w:r>
        <w:rPr>
          <w:rFonts w:hint="eastAsia" w:ascii="Times New Roman" w:hAnsi="Times New Roman" w:eastAsia="宋体" w:cs="Times New Roman"/>
          <w:color w:val="auto"/>
          <w:spacing w:val="-6"/>
          <w:sz w:val="24"/>
          <w:szCs w:val="24"/>
        </w:rPr>
        <w:t>根据提供的资料、现场勘查结果及监测数据编制了本项目</w:t>
      </w:r>
      <w:r>
        <w:rPr>
          <w:rFonts w:hint="eastAsia" w:ascii="Times New Roman" w:hAnsi="Times New Roman" w:eastAsia="宋体" w:cs="Times New Roman"/>
          <w:color w:val="auto"/>
          <w:spacing w:val="-6"/>
          <w:sz w:val="24"/>
          <w:szCs w:val="24"/>
          <w:lang w:eastAsia="zh-CN"/>
        </w:rPr>
        <w:t>阶段性竣工环境保护验收监测</w:t>
      </w:r>
      <w:r>
        <w:rPr>
          <w:rFonts w:hint="eastAsia" w:ascii="Times New Roman" w:hAnsi="Times New Roman" w:eastAsia="宋体" w:cs="Times New Roman"/>
          <w:color w:val="auto"/>
          <w:spacing w:val="-6"/>
          <w:sz w:val="24"/>
          <w:szCs w:val="24"/>
        </w:rPr>
        <w:t>报告。</w:t>
      </w:r>
    </w:p>
    <w:p>
      <w:pPr>
        <w:pStyle w:val="104"/>
        <w:keepNext w:val="0"/>
        <w:keepLines w:val="0"/>
        <w:pageBreakBefore w:val="0"/>
        <w:widowControl w:val="0"/>
        <w:kinsoku/>
        <w:wordWrap/>
        <w:overflowPunct/>
        <w:topLinePunct w:val="0"/>
        <w:autoSpaceDE/>
        <w:autoSpaceDN/>
        <w:bidi w:val="0"/>
        <w:adjustRightInd/>
        <w:snapToGrid/>
        <w:spacing w:line="360" w:lineRule="auto"/>
        <w:ind w:left="0" w:leftChars="0" w:firstLine="458" w:firstLineChars="200"/>
        <w:textAlignment w:val="auto"/>
        <w:rPr>
          <w:rFonts w:hint="eastAsia" w:ascii="Times New Roman" w:hAnsi="Times New Roman" w:eastAsia="宋体"/>
          <w:color w:val="auto"/>
          <w:spacing w:val="-6"/>
          <w:szCs w:val="24"/>
          <w:lang w:eastAsia="zh-CN"/>
        </w:rPr>
      </w:pPr>
      <w:r>
        <w:rPr>
          <w:rFonts w:hint="eastAsia" w:ascii="Times New Roman" w:hAnsi="Times New Roman" w:eastAsia="宋体"/>
          <w:b/>
          <w:bCs/>
          <w:color w:val="auto"/>
          <w:spacing w:val="-6"/>
          <w:szCs w:val="24"/>
        </w:rPr>
        <w:t>本次</w:t>
      </w:r>
      <w:r>
        <w:rPr>
          <w:rFonts w:hint="eastAsia" w:ascii="Times New Roman" w:hAnsi="Times New Roman" w:eastAsia="宋体"/>
          <w:b/>
          <w:bCs/>
          <w:color w:val="auto"/>
          <w:szCs w:val="24"/>
        </w:rPr>
        <w:t>验收内容主要包括</w:t>
      </w:r>
      <w:r>
        <w:rPr>
          <w:rFonts w:hint="eastAsia"/>
          <w:b/>
          <w:bCs/>
          <w:color w:val="auto"/>
          <w:szCs w:val="24"/>
          <w:lang w:val="en-US" w:eastAsia="zh-CN"/>
        </w:rPr>
        <w:t>1</w:t>
      </w:r>
      <w:r>
        <w:rPr>
          <w:rFonts w:hint="eastAsia" w:ascii="Times New Roman" w:hAnsi="Times New Roman" w:eastAsia="宋体"/>
          <w:b/>
          <w:bCs/>
          <w:color w:val="auto"/>
          <w:szCs w:val="24"/>
        </w:rPr>
        <w:t>条再生塑料颗粒生产线以及配套的辅助设施及环保设施。</w:t>
      </w:r>
    </w:p>
    <w:p>
      <w:pPr>
        <w:keepNext w:val="0"/>
        <w:keepLines w:val="0"/>
        <w:pageBreakBefore w:val="0"/>
        <w:widowControl w:val="0"/>
        <w:kinsoku/>
        <w:wordWrap/>
        <w:overflowPunct/>
        <w:topLinePunct w:val="0"/>
        <w:autoSpaceDE/>
        <w:autoSpaceDN/>
        <w:bidi w:val="0"/>
        <w:adjustRightInd/>
        <w:snapToGrid/>
        <w:spacing w:line="360" w:lineRule="auto"/>
        <w:ind w:left="239" w:leftChars="114" w:right="0" w:rightChars="0" w:firstLine="240" w:firstLineChars="100"/>
        <w:textAlignment w:val="auto"/>
        <w:outlineLvl w:val="9"/>
        <w:rPr>
          <w:rFonts w:ascii="Times New Roman" w:hAnsi="Times New Roman" w:eastAsia="宋体"/>
          <w:color w:val="auto"/>
          <w:sz w:val="24"/>
        </w:rPr>
      </w:pPr>
      <w:r>
        <w:rPr>
          <w:rFonts w:hint="eastAsia" w:ascii="Times New Roman" w:hAnsi="Times New Roman" w:eastAsia="宋体"/>
          <w:color w:val="auto"/>
          <w:sz w:val="24"/>
        </w:rPr>
        <w:t>本次验收</w:t>
      </w:r>
      <w:r>
        <w:rPr>
          <w:rFonts w:ascii="Times New Roman" w:hAnsi="Times New Roman" w:eastAsia="宋体"/>
          <w:color w:val="auto"/>
          <w:sz w:val="24"/>
        </w:rPr>
        <w:t>监测内容：（1）</w:t>
      </w:r>
      <w:r>
        <w:rPr>
          <w:rFonts w:hint="eastAsia" w:ascii="Times New Roman" w:hAnsi="Times New Roman" w:eastAsia="宋体"/>
          <w:color w:val="auto"/>
          <w:sz w:val="24"/>
          <w:lang w:eastAsia="zh-CN"/>
        </w:rPr>
        <w:t>有组织废气；（</w:t>
      </w:r>
      <w:r>
        <w:rPr>
          <w:rFonts w:hint="eastAsia" w:ascii="Times New Roman" w:hAnsi="Times New Roman" w:eastAsia="宋体"/>
          <w:color w:val="auto"/>
          <w:sz w:val="24"/>
          <w:lang w:val="en-US" w:eastAsia="zh-CN"/>
        </w:rPr>
        <w:t>2）</w:t>
      </w:r>
      <w:r>
        <w:rPr>
          <w:rFonts w:hint="eastAsia" w:ascii="Times New Roman" w:hAnsi="Times New Roman" w:eastAsia="宋体"/>
          <w:color w:val="auto"/>
          <w:sz w:val="24"/>
          <w:lang w:eastAsia="zh-CN"/>
        </w:rPr>
        <w:t>无</w:t>
      </w:r>
      <w:r>
        <w:rPr>
          <w:rFonts w:ascii="Times New Roman" w:hAnsi="Times New Roman" w:eastAsia="宋体"/>
          <w:color w:val="auto"/>
          <w:sz w:val="24"/>
        </w:rPr>
        <w:t>组织废气；（3）噪声；（4）</w:t>
      </w:r>
      <w:r>
        <w:rPr>
          <w:rFonts w:hint="eastAsia" w:ascii="Times New Roman" w:hAnsi="Times New Roman" w:eastAsia="宋体"/>
          <w:color w:val="auto"/>
          <w:sz w:val="24"/>
          <w:lang w:val="en-US" w:eastAsia="zh-CN"/>
        </w:rPr>
        <w:t>废水；</w:t>
      </w:r>
      <w:r>
        <w:rPr>
          <w:rFonts w:ascii="Times New Roman" w:hAnsi="Times New Roman" w:eastAsia="宋体"/>
          <w:color w:val="auto"/>
          <w:sz w:val="24"/>
        </w:rPr>
        <w:t>（</w:t>
      </w:r>
      <w:r>
        <w:rPr>
          <w:rFonts w:hint="eastAsia" w:ascii="Times New Roman" w:hAnsi="Times New Roman" w:eastAsia="宋体"/>
          <w:color w:val="auto"/>
          <w:sz w:val="24"/>
          <w:lang w:val="en-US" w:eastAsia="zh-CN"/>
        </w:rPr>
        <w:t>5</w:t>
      </w:r>
      <w:r>
        <w:rPr>
          <w:rFonts w:ascii="Times New Roman" w:hAnsi="Times New Roman" w:eastAsia="宋体"/>
          <w:color w:val="auto"/>
          <w:sz w:val="24"/>
        </w:rPr>
        <w:t>）</w:t>
      </w:r>
      <w:r>
        <w:rPr>
          <w:rFonts w:hint="eastAsia" w:ascii="Times New Roman" w:hAnsi="Times New Roman" w:eastAsia="宋体"/>
          <w:color w:val="auto"/>
          <w:sz w:val="24"/>
          <w:lang w:eastAsia="zh-CN"/>
        </w:rPr>
        <w:t>环境管理检查</w:t>
      </w:r>
      <w:r>
        <w:rPr>
          <w:rFonts w:ascii="Times New Roman" w:hAnsi="Times New Roman" w:eastAsia="宋体"/>
          <w:color w:val="auto"/>
          <w:sz w:val="24"/>
        </w:rPr>
        <w:t>。</w:t>
      </w:r>
    </w:p>
    <w:p>
      <w:pPr>
        <w:pStyle w:val="9"/>
        <w:keepNext w:val="0"/>
        <w:keepLines w:val="0"/>
        <w:pageBreakBefore w:val="0"/>
        <w:widowControl w:val="0"/>
        <w:kinsoku/>
        <w:wordWrap/>
        <w:overflowPunct/>
        <w:topLinePunct w:val="0"/>
        <w:autoSpaceDE/>
        <w:autoSpaceDN/>
        <w:bidi w:val="0"/>
        <w:adjustRightInd/>
        <w:snapToGrid/>
        <w:spacing w:after="0" w:line="360" w:lineRule="auto"/>
        <w:textAlignment w:val="auto"/>
        <w:rPr>
          <w:rFonts w:ascii="Times New Roman" w:hAnsi="Times New Roman" w:eastAsia="宋体"/>
          <w:color w:val="auto"/>
          <w:sz w:val="24"/>
        </w:rPr>
        <w:sectPr>
          <w:footerReference r:id="rId5" w:type="default"/>
          <w:pgSz w:w="11906" w:h="16838"/>
          <w:pgMar w:top="1361" w:right="1361" w:bottom="1361" w:left="1361" w:header="851" w:footer="737"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1" w:name="_Toc507454860"/>
      <w:bookmarkStart w:id="2" w:name="_Toc17965"/>
      <w:r>
        <w:rPr>
          <w:rFonts w:hint="eastAsia" w:ascii="Times New Roman" w:hAnsi="Times New Roman" w:eastAsia="宋体"/>
          <w:color w:val="auto"/>
        </w:rPr>
        <w:t>二、验收依据</w:t>
      </w:r>
      <w:bookmarkEnd w:id="1"/>
      <w:bookmarkEnd w:id="2"/>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3" w:name="_Toc6701"/>
      <w:r>
        <w:rPr>
          <w:rFonts w:hint="eastAsia" w:ascii="Times New Roman" w:hAnsi="Times New Roman" w:eastAsia="宋体"/>
          <w:color w:val="auto"/>
        </w:rPr>
        <w:t>2.1建设项目环境保护相关法律、法规和规章制度</w:t>
      </w:r>
      <w:bookmarkEnd w:id="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1</w:t>
      </w:r>
      <w:r>
        <w:rPr>
          <w:rFonts w:hint="eastAsia" w:ascii="Times New Roman" w:hAnsi="Times New Roman" w:eastAsia="宋体"/>
          <w:color w:val="auto"/>
        </w:rPr>
        <w:t>、《中华人民共和国环境保护法》（</w:t>
      </w:r>
      <w:r>
        <w:rPr>
          <w:rFonts w:ascii="Times New Roman" w:hAnsi="Times New Roman" w:eastAsia="宋体"/>
          <w:color w:val="auto"/>
        </w:rPr>
        <w:t>2015</w:t>
      </w:r>
      <w:r>
        <w:rPr>
          <w:rFonts w:hint="eastAsia" w:ascii="Times New Roman" w:hAnsi="Times New Roman" w:eastAsia="宋体"/>
          <w:color w:val="auto"/>
        </w:rPr>
        <w:t>年</w:t>
      </w:r>
      <w:r>
        <w:rPr>
          <w:rFonts w:ascii="Times New Roman" w:hAnsi="Times New Roman" w:eastAsia="宋体"/>
          <w:color w:val="auto"/>
        </w:rPr>
        <w:t>1</w:t>
      </w:r>
      <w:r>
        <w:rPr>
          <w:rFonts w:hint="eastAsia" w:ascii="Times New Roman" w:hAnsi="Times New Roman" w:eastAsia="宋体"/>
          <w:color w:val="auto"/>
        </w:rPr>
        <w:t>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2</w:t>
      </w:r>
      <w:r>
        <w:rPr>
          <w:rFonts w:hint="eastAsia" w:ascii="Times New Roman" w:hAnsi="Times New Roman" w:eastAsia="宋体"/>
          <w:color w:val="auto"/>
        </w:rPr>
        <w:t>、《中华人民共和国水污染防治法》（</w:t>
      </w:r>
      <w:r>
        <w:rPr>
          <w:rFonts w:ascii="Times New Roman" w:hAnsi="Times New Roman" w:eastAsia="宋体"/>
          <w:color w:val="auto"/>
        </w:rPr>
        <w:t>20</w:t>
      </w:r>
      <w:r>
        <w:rPr>
          <w:rFonts w:hint="eastAsia" w:ascii="Times New Roman" w:hAnsi="Times New Roman" w:eastAsia="宋体"/>
          <w:color w:val="auto"/>
        </w:rPr>
        <w:t>1</w:t>
      </w:r>
      <w:r>
        <w:rPr>
          <w:rFonts w:ascii="Times New Roman" w:hAnsi="Times New Roman" w:eastAsia="宋体"/>
          <w:color w:val="auto"/>
        </w:rPr>
        <w:t>8</w:t>
      </w:r>
      <w:r>
        <w:rPr>
          <w:rFonts w:hint="eastAsia" w:ascii="Times New Roman" w:hAnsi="Times New Roman" w:eastAsia="宋体"/>
          <w:color w:val="auto"/>
        </w:rPr>
        <w:t>年1月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3</w:t>
      </w:r>
      <w:r>
        <w:rPr>
          <w:rFonts w:hint="eastAsia" w:ascii="Times New Roman" w:hAnsi="Times New Roman" w:eastAsia="宋体"/>
          <w:color w:val="auto"/>
        </w:rPr>
        <w:t>、《中华人民共和国大气污染防治法》（</w:t>
      </w:r>
      <w:r>
        <w:rPr>
          <w:rFonts w:ascii="Times New Roman" w:hAnsi="Times New Roman" w:eastAsia="宋体"/>
          <w:color w:val="auto"/>
        </w:rPr>
        <w:t>2018</w:t>
      </w:r>
      <w:r>
        <w:rPr>
          <w:rFonts w:hint="eastAsia" w:ascii="Times New Roman" w:hAnsi="Times New Roman" w:eastAsia="宋体"/>
          <w:color w:val="auto"/>
        </w:rPr>
        <w:t>年</w:t>
      </w:r>
      <w:r>
        <w:rPr>
          <w:rFonts w:ascii="Times New Roman" w:hAnsi="Times New Roman" w:eastAsia="宋体"/>
          <w:color w:val="auto"/>
        </w:rPr>
        <w:t>10</w:t>
      </w:r>
      <w:r>
        <w:rPr>
          <w:rFonts w:hint="eastAsia" w:ascii="Times New Roman" w:hAnsi="Times New Roman" w:eastAsia="宋体"/>
          <w:color w:val="auto"/>
        </w:rPr>
        <w:t>月</w:t>
      </w:r>
      <w:r>
        <w:rPr>
          <w:rFonts w:ascii="Times New Roman" w:hAnsi="Times New Roman" w:eastAsia="宋体"/>
          <w:color w:val="auto"/>
        </w:rPr>
        <w:t>26</w:t>
      </w:r>
      <w:r>
        <w:rPr>
          <w:rFonts w:hint="eastAsia" w:ascii="Times New Roman" w:hAnsi="Times New Roman" w:eastAsia="宋体"/>
          <w:color w:val="auto"/>
        </w:rPr>
        <w:t>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4</w:t>
      </w:r>
      <w:r>
        <w:rPr>
          <w:rFonts w:hint="eastAsia" w:ascii="Times New Roman" w:hAnsi="Times New Roman" w:eastAsia="宋体"/>
          <w:color w:val="auto"/>
        </w:rPr>
        <w:t>、《中华人民共和国噪声环境污染防治法》（2018年12月29日修订）；</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5</w:t>
      </w:r>
      <w:r>
        <w:rPr>
          <w:rFonts w:hint="eastAsia" w:ascii="Times New Roman" w:hAnsi="Times New Roman" w:eastAsia="宋体"/>
          <w:color w:val="auto"/>
        </w:rPr>
        <w:t>、《中华人民共和国固体废物污染防治法》（</w:t>
      </w:r>
      <w:r>
        <w:rPr>
          <w:rFonts w:ascii="Times New Roman" w:hAnsi="Times New Roman" w:eastAsia="宋体"/>
          <w:color w:val="auto"/>
        </w:rPr>
        <w:t>20</w:t>
      </w:r>
      <w:r>
        <w:rPr>
          <w:rFonts w:hint="eastAsia" w:ascii="Times New Roman" w:hAnsi="Times New Roman" w:eastAsia="宋体"/>
          <w:color w:val="auto"/>
        </w:rPr>
        <w:t>20年9月1日实施）；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rPr>
        <w:t>6</w:t>
      </w:r>
      <w:r>
        <w:rPr>
          <w:rFonts w:hint="eastAsia" w:ascii="Times New Roman" w:hAnsi="Times New Roman" w:eastAsia="宋体"/>
          <w:color w:val="auto"/>
        </w:rPr>
        <w:t>、《</w:t>
      </w:r>
      <w:r>
        <w:rPr>
          <w:rFonts w:ascii="Times New Roman" w:hAnsi="Times New Roman" w:eastAsia="宋体"/>
          <w:color w:val="auto"/>
        </w:rPr>
        <w:t>建设项目竣工环境保护验收暂行办法</w:t>
      </w:r>
      <w:r>
        <w:rPr>
          <w:rFonts w:hint="eastAsia" w:ascii="Times New Roman" w:hAnsi="Times New Roman" w:eastAsia="宋体"/>
          <w:color w:val="auto"/>
        </w:rPr>
        <w:t>》（试行）（国环规环评[2017]4号文）（2017年11月20日实施）；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stheme="majorBidi"/>
          <w:b/>
          <w:bCs/>
          <w:color w:val="auto"/>
          <w:sz w:val="32"/>
          <w:szCs w:val="32"/>
        </w:rPr>
      </w:pPr>
      <w:r>
        <w:rPr>
          <w:rFonts w:hint="eastAsia" w:ascii="Times New Roman" w:hAnsi="Times New Roman" w:eastAsia="宋体"/>
          <w:color w:val="auto"/>
        </w:rPr>
        <w:t>7、《建设项目环境保护管理条例》（国令第682号文）（201</w:t>
      </w:r>
      <w:r>
        <w:rPr>
          <w:rFonts w:ascii="Times New Roman" w:hAnsi="Times New Roman" w:eastAsia="宋体"/>
          <w:color w:val="auto"/>
        </w:rPr>
        <w:t>7</w:t>
      </w:r>
      <w:r>
        <w:rPr>
          <w:rFonts w:hint="eastAsia" w:ascii="Times New Roman" w:hAnsi="Times New Roman" w:eastAsia="宋体"/>
          <w:color w:val="auto"/>
        </w:rPr>
        <w:t>年10月</w:t>
      </w:r>
      <w:r>
        <w:rPr>
          <w:rFonts w:ascii="Times New Roman" w:hAnsi="Times New Roman" w:eastAsia="宋体"/>
          <w:color w:val="auto"/>
        </w:rPr>
        <w:t>1</w:t>
      </w:r>
      <w:r>
        <w:rPr>
          <w:rFonts w:hint="eastAsia" w:ascii="Times New Roman" w:hAnsi="Times New Roman" w:eastAsia="宋体"/>
          <w:color w:val="auto"/>
        </w:rPr>
        <w:t>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bCs/>
          <w:color w:val="auto"/>
          <w:lang w:eastAsia="zh-CN"/>
        </w:rPr>
      </w:pPr>
      <w:r>
        <w:rPr>
          <w:rFonts w:hint="eastAsia" w:ascii="Times New Roman" w:hAnsi="Times New Roman" w:eastAsia="宋体"/>
          <w:bCs/>
          <w:color w:val="auto"/>
        </w:rPr>
        <w:t>8、《安徽省环境保护条例》（2018年1月1日实施）</w:t>
      </w:r>
      <w:r>
        <w:rPr>
          <w:rFonts w:hint="eastAsia" w:ascii="Times New Roman" w:hAnsi="Times New Roman" w:eastAsia="宋体"/>
          <w:bCs/>
          <w:color w:val="auto"/>
          <w:lang w:eastAsia="zh-CN"/>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bCs/>
          <w:color w:val="auto"/>
          <w:lang w:val="en-US" w:eastAsia="zh-CN"/>
        </w:rPr>
      </w:pPr>
      <w:r>
        <w:rPr>
          <w:rFonts w:hint="eastAsia" w:ascii="Times New Roman" w:hAnsi="Times New Roman" w:eastAsia="宋体"/>
          <w:bCs/>
          <w:color w:val="auto"/>
          <w:lang w:val="en-US" w:eastAsia="zh-CN"/>
        </w:rPr>
        <w:t>9、关于印发《“十三五”挥发性有机物污染防治工作方案》的通知，环大气[2017]121号。</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4" w:name="_Toc3639"/>
      <w:r>
        <w:rPr>
          <w:rFonts w:hint="eastAsia" w:ascii="Times New Roman" w:hAnsi="Times New Roman" w:eastAsia="宋体"/>
          <w:color w:val="auto"/>
        </w:rPr>
        <w:t>2.2</w:t>
      </w:r>
      <w:r>
        <w:rPr>
          <w:rFonts w:ascii="Times New Roman" w:hAnsi="Times New Roman" w:eastAsia="宋体"/>
          <w:color w:val="auto"/>
        </w:rPr>
        <w:t>建设项目竣工环境保护验收技术规范</w:t>
      </w:r>
      <w:bookmarkEnd w:id="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1、《建设项目竣工环境保护验收技术指南 污染影响类》（2018年5月16日实施）；</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szCs w:val="24"/>
          <w:lang w:eastAsia="zh-CN"/>
        </w:rPr>
      </w:pPr>
      <w:r>
        <w:rPr>
          <w:rFonts w:hint="eastAsia" w:ascii="Times New Roman" w:hAnsi="Times New Roman" w:eastAsia="宋体"/>
          <w:color w:val="auto"/>
        </w:rPr>
        <w:t>2、</w:t>
      </w:r>
      <w:r>
        <w:rPr>
          <w:rFonts w:hint="eastAsia" w:ascii="Times New Roman" w:hAnsi="Times New Roman" w:eastAsia="宋体"/>
          <w:color w:val="auto"/>
          <w:szCs w:val="24"/>
        </w:rPr>
        <w:t>关于印发</w:t>
      </w:r>
      <w:r>
        <w:rPr>
          <w:rFonts w:hint="eastAsia" w:ascii="Times New Roman" w:hAnsi="Times New Roman" w:eastAsia="宋体"/>
          <w:color w:val="auto"/>
          <w:szCs w:val="24"/>
          <w:lang w:eastAsia="zh-CN"/>
        </w:rPr>
        <w:t>《污染影响类建设项目重大变动清单（试行）的通知》（环办环评函【</w:t>
      </w:r>
      <w:r>
        <w:rPr>
          <w:rFonts w:hint="eastAsia" w:ascii="Times New Roman" w:hAnsi="Times New Roman" w:eastAsia="宋体"/>
          <w:color w:val="auto"/>
          <w:szCs w:val="24"/>
          <w:lang w:val="en-US" w:eastAsia="zh-CN"/>
        </w:rPr>
        <w:t>2020】688号）（2020年12月13日实施）。</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5" w:name="_Toc31980"/>
      <w:r>
        <w:rPr>
          <w:rFonts w:hint="eastAsia" w:ascii="Times New Roman" w:hAnsi="Times New Roman" w:eastAsia="宋体"/>
          <w:color w:val="auto"/>
        </w:rPr>
        <w:t>2.3</w:t>
      </w:r>
      <w:r>
        <w:rPr>
          <w:rFonts w:ascii="Times New Roman" w:hAnsi="Times New Roman" w:eastAsia="宋体"/>
          <w:color w:val="auto"/>
        </w:rPr>
        <w:t>建设项目</w:t>
      </w:r>
      <w:r>
        <w:rPr>
          <w:rFonts w:hint="eastAsia" w:ascii="Times New Roman" w:hAnsi="Times New Roman" w:eastAsia="宋体"/>
          <w:color w:val="auto"/>
        </w:rPr>
        <w:t>环境影响报告书及其批复部门批复决定</w:t>
      </w:r>
      <w:bookmarkEnd w:id="5"/>
    </w:p>
    <w:p>
      <w:pPr>
        <w:pStyle w:val="104"/>
        <w:pageBreakBefore w:val="0"/>
        <w:widowControl w:val="0"/>
        <w:kinsoku/>
        <w:wordWrap/>
        <w:overflowPunct/>
        <w:topLinePunct w:val="0"/>
        <w:autoSpaceDE/>
        <w:autoSpaceDN/>
        <w:bidi w:val="0"/>
        <w:adjustRightInd/>
        <w:snapToGrid/>
        <w:spacing w:line="360" w:lineRule="auto"/>
        <w:ind w:firstLine="456"/>
        <w:textAlignment w:val="auto"/>
        <w:rPr>
          <w:rFonts w:ascii="Times New Roman" w:hAnsi="Times New Roman" w:eastAsia="宋体"/>
          <w:color w:val="auto"/>
          <w:spacing w:val="-6"/>
        </w:rPr>
      </w:pPr>
      <w:r>
        <w:rPr>
          <w:rFonts w:hint="eastAsia" w:ascii="Times New Roman" w:hAnsi="Times New Roman" w:eastAsia="宋体"/>
          <w:color w:val="auto"/>
          <w:spacing w:val="-6"/>
          <w:lang w:val="en-US" w:eastAsia="zh-CN"/>
        </w:rPr>
        <w:t>2</w:t>
      </w:r>
      <w:r>
        <w:rPr>
          <w:rFonts w:ascii="Times New Roman" w:hAnsi="Times New Roman" w:eastAsia="宋体"/>
          <w:color w:val="auto"/>
          <w:spacing w:val="-6"/>
        </w:rPr>
        <w:t>、</w:t>
      </w:r>
      <w:r>
        <w:rPr>
          <w:rFonts w:hint="eastAsia" w:ascii="Times New Roman" w:hAnsi="Times New Roman" w:eastAsia="宋体"/>
          <w:color w:val="auto"/>
          <w:spacing w:val="-6"/>
        </w:rPr>
        <w:t>《</w:t>
      </w:r>
      <w:r>
        <w:rPr>
          <w:rFonts w:hint="eastAsia" w:ascii="Times New Roman" w:hAnsi="Times New Roman" w:eastAsia="宋体"/>
          <w:color w:val="auto"/>
          <w:lang w:eastAsia="zh-CN"/>
        </w:rPr>
        <w:t>合肥皖玻塑业有限公司年产8000吨再生塑料颗粒生产项目</w:t>
      </w:r>
      <w:r>
        <w:rPr>
          <w:rFonts w:ascii="Times New Roman" w:hAnsi="Times New Roman" w:eastAsia="宋体"/>
          <w:color w:val="auto"/>
          <w:spacing w:val="-6"/>
        </w:rPr>
        <w:t>环境影响报告书</w:t>
      </w:r>
      <w:r>
        <w:rPr>
          <w:rFonts w:hint="eastAsia" w:ascii="Times New Roman" w:hAnsi="Times New Roman" w:eastAsia="宋体"/>
          <w:color w:val="auto"/>
          <w:spacing w:val="-6"/>
        </w:rPr>
        <w:t>》</w:t>
      </w:r>
      <w:r>
        <w:rPr>
          <w:rFonts w:ascii="Times New Roman" w:hAnsi="Times New Roman" w:eastAsia="宋体"/>
          <w:color w:val="auto"/>
          <w:spacing w:val="-6"/>
        </w:rPr>
        <w:t>（</w:t>
      </w:r>
      <w:r>
        <w:rPr>
          <w:rFonts w:hint="eastAsia" w:ascii="Times New Roman" w:hAnsi="Times New Roman" w:eastAsia="宋体"/>
          <w:color w:val="auto"/>
          <w:lang w:eastAsia="zh-CN"/>
        </w:rPr>
        <w:t>安徽显闰环境工程有限公司</w:t>
      </w:r>
      <w:r>
        <w:rPr>
          <w:rFonts w:ascii="Times New Roman" w:hAnsi="Times New Roman" w:eastAsia="宋体"/>
          <w:color w:val="auto"/>
          <w:spacing w:val="-6"/>
        </w:rPr>
        <w:t>，</w:t>
      </w:r>
      <w:r>
        <w:rPr>
          <w:rFonts w:ascii="Times New Roman" w:hAnsi="Times New Roman" w:eastAsia="宋体"/>
          <w:color w:val="auto"/>
        </w:rPr>
        <w:t>20</w:t>
      </w:r>
      <w:r>
        <w:rPr>
          <w:rFonts w:hint="eastAsia" w:ascii="Times New Roman" w:hAnsi="Times New Roman" w:eastAsia="宋体"/>
          <w:color w:val="auto"/>
          <w:lang w:val="en-US" w:eastAsia="zh-CN"/>
        </w:rPr>
        <w:t>19</w:t>
      </w:r>
      <w:r>
        <w:rPr>
          <w:rFonts w:ascii="Times New Roman" w:hAnsi="Times New Roman" w:eastAsia="宋体"/>
          <w:color w:val="auto"/>
        </w:rPr>
        <w:t>年</w:t>
      </w:r>
      <w:r>
        <w:rPr>
          <w:rFonts w:hint="eastAsia" w:ascii="Times New Roman" w:hAnsi="Times New Roman" w:eastAsia="宋体"/>
          <w:color w:val="auto"/>
          <w:lang w:val="en-US" w:eastAsia="zh-CN"/>
        </w:rPr>
        <w:t>2</w:t>
      </w:r>
      <w:r>
        <w:rPr>
          <w:rFonts w:ascii="Times New Roman" w:hAnsi="Times New Roman" w:eastAsia="宋体"/>
          <w:color w:val="auto"/>
        </w:rPr>
        <w:t>月</w:t>
      </w:r>
      <w:r>
        <w:rPr>
          <w:rFonts w:ascii="Times New Roman" w:hAnsi="Times New Roman" w:eastAsia="宋体"/>
          <w:color w:val="auto"/>
          <w:spacing w:val="-6"/>
        </w:rPr>
        <w:t xml:space="preserve">）； </w:t>
      </w:r>
    </w:p>
    <w:p>
      <w:pPr>
        <w:pStyle w:val="104"/>
        <w:pageBreakBefore w:val="0"/>
        <w:widowControl w:val="0"/>
        <w:kinsoku/>
        <w:wordWrap/>
        <w:overflowPunct/>
        <w:topLinePunct w:val="0"/>
        <w:autoSpaceDE/>
        <w:autoSpaceDN/>
        <w:bidi w:val="0"/>
        <w:adjustRightInd/>
        <w:snapToGrid/>
        <w:spacing w:line="360" w:lineRule="auto"/>
        <w:ind w:firstLine="456"/>
        <w:textAlignment w:val="auto"/>
        <w:rPr>
          <w:rFonts w:ascii="Times New Roman" w:hAnsi="Times New Roman" w:eastAsia="宋体"/>
          <w:color w:val="auto"/>
          <w:spacing w:val="-6"/>
          <w:highlight w:val="none"/>
        </w:rPr>
      </w:pPr>
      <w:r>
        <w:rPr>
          <w:rFonts w:hint="eastAsia" w:ascii="Times New Roman" w:hAnsi="Times New Roman" w:eastAsia="宋体"/>
          <w:color w:val="auto"/>
          <w:spacing w:val="-6"/>
          <w:highlight w:val="none"/>
          <w:lang w:val="en-US" w:eastAsia="zh-CN"/>
        </w:rPr>
        <w:t>3</w:t>
      </w:r>
      <w:r>
        <w:rPr>
          <w:rFonts w:ascii="Times New Roman" w:hAnsi="Times New Roman" w:eastAsia="宋体"/>
          <w:color w:val="auto"/>
          <w:spacing w:val="-6"/>
          <w:highlight w:val="none"/>
        </w:rPr>
        <w:t>、</w:t>
      </w:r>
      <w:r>
        <w:rPr>
          <w:rFonts w:hint="eastAsia" w:ascii="Times New Roman" w:hAnsi="Times New Roman" w:eastAsia="宋体"/>
          <w:color w:val="auto"/>
          <w:spacing w:val="-6"/>
          <w:highlight w:val="none"/>
        </w:rPr>
        <w:t>《关于</w:t>
      </w:r>
      <w:r>
        <w:rPr>
          <w:rFonts w:hint="eastAsia" w:ascii="Times New Roman" w:hAnsi="Times New Roman" w:eastAsia="宋体"/>
          <w:color w:val="auto"/>
          <w:highlight w:val="none"/>
          <w:lang w:eastAsia="zh-CN"/>
        </w:rPr>
        <w:t>合肥皖玻塑业有限公司年产8000吨再生塑料颗粒生产项目</w:t>
      </w:r>
      <w:r>
        <w:rPr>
          <w:rFonts w:hint="eastAsia" w:ascii="Times New Roman" w:hAnsi="Times New Roman" w:eastAsia="宋体"/>
          <w:color w:val="auto"/>
          <w:spacing w:val="-6"/>
          <w:highlight w:val="none"/>
        </w:rPr>
        <w:t>环境影响报告书的审批意见》</w:t>
      </w:r>
      <w:r>
        <w:rPr>
          <w:rFonts w:ascii="Times New Roman" w:hAnsi="Times New Roman" w:eastAsia="宋体"/>
          <w:color w:val="auto"/>
          <w:spacing w:val="-6"/>
          <w:highlight w:val="none"/>
        </w:rPr>
        <w:t>（</w:t>
      </w:r>
      <w:r>
        <w:rPr>
          <w:rFonts w:hint="eastAsia" w:ascii="Times New Roman" w:hAnsi="Times New Roman" w:eastAsia="宋体"/>
          <w:color w:val="000000" w:themeColor="text1"/>
          <w:sz w:val="24"/>
          <w:szCs w:val="24"/>
          <w:lang w:eastAsia="zh-CN"/>
          <w14:textFill>
            <w14:solidFill>
              <w14:schemeClr w14:val="tx1"/>
            </w14:solidFill>
          </w14:textFill>
        </w:rPr>
        <w:t>长环建</w:t>
      </w:r>
      <w:r>
        <w:rPr>
          <w:rFonts w:hint="eastAsia" w:ascii="Times New Roman" w:hAnsi="Times New Roman" w:eastAsia="宋体"/>
          <w:color w:val="000000" w:themeColor="text1"/>
          <w:sz w:val="24"/>
          <w:szCs w:val="24"/>
          <w14:textFill>
            <w14:solidFill>
              <w14:schemeClr w14:val="tx1"/>
            </w14:solidFill>
          </w14:textFill>
        </w:rPr>
        <w:t>[2019]</w:t>
      </w:r>
      <w:r>
        <w:rPr>
          <w:rFonts w:hint="eastAsia" w:ascii="Times New Roman" w:hAnsi="Times New Roman" w:eastAsia="宋体"/>
          <w:color w:val="000000" w:themeColor="text1"/>
          <w:sz w:val="24"/>
          <w:szCs w:val="24"/>
          <w:lang w:val="en-US" w:eastAsia="zh-CN"/>
          <w14:textFill>
            <w14:solidFill>
              <w14:schemeClr w14:val="tx1"/>
            </w14:solidFill>
          </w14:textFill>
        </w:rPr>
        <w:t>95</w:t>
      </w:r>
      <w:r>
        <w:rPr>
          <w:rFonts w:hint="eastAsia" w:ascii="Times New Roman" w:hAnsi="Times New Roman" w:eastAsia="宋体"/>
          <w:color w:val="000000" w:themeColor="text1"/>
          <w:sz w:val="24"/>
          <w:szCs w:val="24"/>
          <w14:textFill>
            <w14:solidFill>
              <w14:schemeClr w14:val="tx1"/>
            </w14:solidFill>
          </w14:textFill>
        </w:rPr>
        <w:t>号</w:t>
      </w:r>
      <w:r>
        <w:rPr>
          <w:rFonts w:ascii="Times New Roman" w:hAnsi="Times New Roman" w:eastAsia="宋体"/>
          <w:color w:val="auto"/>
          <w:spacing w:val="-6"/>
          <w:highlight w:val="none"/>
        </w:rPr>
        <w:t>）（</w:t>
      </w:r>
      <w:r>
        <w:rPr>
          <w:rFonts w:hint="eastAsia" w:ascii="Times New Roman" w:hAnsi="Times New Roman" w:eastAsia="宋体" w:cs="Times New Roman"/>
          <w:sz w:val="24"/>
          <w:szCs w:val="24"/>
          <w:lang w:eastAsia="zh-CN"/>
        </w:rPr>
        <w:t>长丰县环境保护局</w:t>
      </w:r>
      <w:r>
        <w:rPr>
          <w:rFonts w:ascii="Times New Roman" w:hAnsi="Times New Roman" w:eastAsia="宋体"/>
          <w:color w:val="auto"/>
          <w:spacing w:val="-6"/>
          <w:highlight w:val="none"/>
        </w:rPr>
        <w:t>，</w:t>
      </w:r>
      <w:r>
        <w:rPr>
          <w:rFonts w:ascii="Times New Roman" w:hAnsi="Times New Roman" w:eastAsia="宋体"/>
          <w:color w:val="auto"/>
          <w:highlight w:val="none"/>
        </w:rPr>
        <w:t>20</w:t>
      </w:r>
      <w:r>
        <w:rPr>
          <w:rFonts w:hint="eastAsia" w:ascii="Times New Roman" w:hAnsi="Times New Roman" w:eastAsia="宋体"/>
          <w:color w:val="auto"/>
          <w:highlight w:val="none"/>
          <w:lang w:val="en-US" w:eastAsia="zh-CN"/>
        </w:rPr>
        <w:t>19</w:t>
      </w:r>
      <w:r>
        <w:rPr>
          <w:rFonts w:ascii="Times New Roman" w:hAnsi="Times New Roman" w:eastAsia="宋体"/>
          <w:color w:val="auto"/>
          <w:highlight w:val="none"/>
        </w:rPr>
        <w:t>年</w:t>
      </w:r>
      <w:r>
        <w:rPr>
          <w:rFonts w:hint="eastAsia" w:ascii="Times New Roman" w:hAnsi="Times New Roman" w:eastAsia="宋体"/>
          <w:color w:val="auto"/>
          <w:highlight w:val="none"/>
          <w:lang w:val="en-US" w:eastAsia="zh-CN"/>
        </w:rPr>
        <w:t>5</w:t>
      </w:r>
      <w:r>
        <w:rPr>
          <w:rFonts w:ascii="Times New Roman" w:hAnsi="Times New Roman" w:eastAsia="宋体"/>
          <w:color w:val="auto"/>
          <w:highlight w:val="none"/>
        </w:rPr>
        <w:t>月</w:t>
      </w:r>
      <w:r>
        <w:rPr>
          <w:rFonts w:hint="eastAsia" w:ascii="Times New Roman" w:hAnsi="Times New Roman" w:eastAsia="宋体"/>
          <w:color w:val="auto"/>
          <w:highlight w:val="none"/>
          <w:lang w:val="en-US" w:eastAsia="zh-CN"/>
        </w:rPr>
        <w:t>27</w:t>
      </w:r>
      <w:r>
        <w:rPr>
          <w:rFonts w:ascii="Times New Roman" w:hAnsi="Times New Roman" w:eastAsia="宋体"/>
          <w:color w:val="auto"/>
          <w:highlight w:val="none"/>
        </w:rPr>
        <w:t>日</w:t>
      </w:r>
      <w:r>
        <w:rPr>
          <w:rFonts w:ascii="Times New Roman" w:hAnsi="Times New Roman" w:eastAsia="宋体"/>
          <w:color w:val="auto"/>
          <w:spacing w:val="-6"/>
          <w:highlight w:val="none"/>
        </w:rPr>
        <w:t>）</w:t>
      </w:r>
      <w:r>
        <w:rPr>
          <w:rFonts w:hint="eastAsia" w:ascii="Times New Roman" w:hAnsi="Times New Roman" w:eastAsia="宋体"/>
          <w:color w:val="auto"/>
          <w:spacing w:val="-6"/>
          <w:highlight w:val="none"/>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olor w:val="0000FF"/>
          <w:highlight w:val="red"/>
          <w:lang w:val="en-US" w:eastAsia="zh-CN"/>
        </w:rPr>
      </w:pPr>
      <w:bookmarkStart w:id="6" w:name="_Toc16262"/>
      <w:r>
        <w:rPr>
          <w:rFonts w:hint="eastAsia" w:ascii="Times New Roman" w:hAnsi="Times New Roman" w:eastAsia="宋体"/>
          <w:color w:val="auto"/>
        </w:rPr>
        <w:t>2.4</w:t>
      </w:r>
      <w:r>
        <w:rPr>
          <w:rFonts w:hint="eastAsia" w:ascii="Times New Roman" w:hAnsi="Times New Roman" w:eastAsia="宋体"/>
          <w:color w:val="auto"/>
          <w:lang w:val="en-US" w:eastAsia="zh-CN"/>
        </w:rPr>
        <w:t>相关评价</w:t>
      </w:r>
      <w:r>
        <w:rPr>
          <w:rFonts w:hint="eastAsia" w:ascii="Times New Roman" w:hAnsi="Times New Roman" w:eastAsia="宋体"/>
          <w:color w:val="auto"/>
          <w:highlight w:val="none"/>
          <w:lang w:val="en-US" w:eastAsia="zh-CN"/>
        </w:rPr>
        <w:t>标准</w:t>
      </w:r>
      <w:bookmarkEnd w:id="6"/>
    </w:p>
    <w:p>
      <w:pPr>
        <w:pStyle w:val="104"/>
        <w:pageBreakBefore w:val="0"/>
        <w:widowControl w:val="0"/>
        <w:numPr>
          <w:ilvl w:val="0"/>
          <w:numId w:val="1"/>
        </w:numPr>
        <w:kinsoku/>
        <w:wordWrap/>
        <w:overflowPunct/>
        <w:topLinePunct w:val="0"/>
        <w:autoSpaceDE/>
        <w:autoSpaceDN/>
        <w:bidi w:val="0"/>
        <w:adjustRightInd/>
        <w:snapToGrid/>
        <w:spacing w:line="360" w:lineRule="auto"/>
        <w:ind w:left="-60" w:leftChars="0" w:firstLine="480" w:firstLineChars="0"/>
        <w:textAlignment w:val="auto"/>
        <w:rPr>
          <w:rFonts w:hint="eastAsia" w:ascii="Times New Roman" w:hAnsi="Times New Roman" w:eastAsia="宋体"/>
          <w:color w:val="auto"/>
          <w:szCs w:val="24"/>
        </w:rPr>
      </w:pPr>
      <w:r>
        <w:rPr>
          <w:rFonts w:hint="default" w:ascii="Times New Roman" w:hAnsi="Times New Roman" w:eastAsia="宋体" w:cs="Times New Roman"/>
          <w:sz w:val="24"/>
          <w:szCs w:val="24"/>
        </w:rPr>
        <w:t>《城市污水再生利用城市杂用水水质》（GB/T18920-20</w:t>
      </w:r>
      <w:r>
        <w:rPr>
          <w:rFonts w:hint="eastAsia" w:cs="Times New Roman"/>
          <w:sz w:val="24"/>
          <w:szCs w:val="24"/>
          <w:lang w:val="en-US" w:eastAsia="zh-CN"/>
        </w:rPr>
        <w:t>20</w:t>
      </w:r>
      <w:r>
        <w:rPr>
          <w:rFonts w:hint="default" w:ascii="Times New Roman" w:hAnsi="Times New Roman" w:eastAsia="宋体" w:cs="Times New Roman"/>
          <w:sz w:val="24"/>
          <w:szCs w:val="24"/>
        </w:rPr>
        <w:t>）</w:t>
      </w:r>
      <w:r>
        <w:rPr>
          <w:rFonts w:hint="eastAsia" w:cs="Times New Roman"/>
          <w:sz w:val="24"/>
          <w:szCs w:val="24"/>
          <w:lang w:val="en-US" w:eastAsia="zh-CN"/>
        </w:rPr>
        <w:t xml:space="preserve">   </w:t>
      </w:r>
    </w:p>
    <w:p>
      <w:pPr>
        <w:pStyle w:val="104"/>
        <w:pageBreakBefore w:val="0"/>
        <w:widowControl w:val="0"/>
        <w:numPr>
          <w:ilvl w:val="0"/>
          <w:numId w:val="1"/>
        </w:numPr>
        <w:kinsoku/>
        <w:wordWrap/>
        <w:overflowPunct/>
        <w:topLinePunct w:val="0"/>
        <w:autoSpaceDE/>
        <w:autoSpaceDN/>
        <w:bidi w:val="0"/>
        <w:adjustRightInd/>
        <w:snapToGrid/>
        <w:spacing w:line="360" w:lineRule="auto"/>
        <w:ind w:left="-60" w:leftChars="0" w:firstLine="480" w:firstLineChars="0"/>
        <w:textAlignment w:val="auto"/>
        <w:rPr>
          <w:rFonts w:hint="eastAsia" w:ascii="Times New Roman" w:hAnsi="Times New Roman" w:eastAsia="宋体"/>
          <w:color w:val="auto"/>
          <w:szCs w:val="24"/>
        </w:rPr>
      </w:pPr>
      <w:r>
        <w:rPr>
          <w:rFonts w:hint="default" w:ascii="Times New Roman" w:hAnsi="Times New Roman" w:eastAsia="宋体" w:cs="Times New Roman"/>
          <w:kern w:val="0"/>
          <w:sz w:val="24"/>
        </w:rPr>
        <w:t>《合成树脂工业污染物排放标准》（GB31572-2015）</w:t>
      </w:r>
      <w:r>
        <w:rPr>
          <w:rFonts w:hint="eastAsia" w:ascii="Times New Roman" w:hAnsi="Times New Roman" w:eastAsia="宋体"/>
          <w:color w:val="auto"/>
          <w:szCs w:val="24"/>
        </w:rPr>
        <w:t>；</w:t>
      </w:r>
    </w:p>
    <w:p>
      <w:pPr>
        <w:pStyle w:val="104"/>
        <w:pageBreakBefore w:val="0"/>
        <w:widowControl w:val="0"/>
        <w:numPr>
          <w:ilvl w:val="0"/>
          <w:numId w:val="1"/>
        </w:numPr>
        <w:kinsoku/>
        <w:wordWrap/>
        <w:overflowPunct/>
        <w:topLinePunct w:val="0"/>
        <w:autoSpaceDE/>
        <w:autoSpaceDN/>
        <w:bidi w:val="0"/>
        <w:adjustRightInd/>
        <w:snapToGrid/>
        <w:spacing w:line="360" w:lineRule="auto"/>
        <w:ind w:left="-60" w:leftChars="0" w:firstLine="480" w:firstLineChars="0"/>
        <w:textAlignment w:val="auto"/>
        <w:rPr>
          <w:rFonts w:hint="eastAsia" w:ascii="Times New Roman" w:hAnsi="Times New Roman" w:eastAsia="宋体"/>
          <w:color w:val="auto"/>
          <w:szCs w:val="24"/>
        </w:rPr>
      </w:pPr>
      <w:r>
        <w:rPr>
          <w:rFonts w:hint="eastAsia" w:ascii="Times New Roman" w:hAnsi="Times New Roman" w:eastAsia="宋体"/>
          <w:color w:val="auto"/>
          <w:lang w:eastAsia="zh-CN"/>
        </w:rPr>
        <w:t>《挥发性有机物无组织排放控制标准》（GB37822-2019）；</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24"/>
        </w:rPr>
      </w:pP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rPr>
        <w:t>、</w:t>
      </w:r>
      <w:r>
        <w:rPr>
          <w:rFonts w:ascii="Times New Roman" w:hAnsi="Times New Roman" w:eastAsia="宋体"/>
          <w:color w:val="auto"/>
          <w:szCs w:val="24"/>
        </w:rPr>
        <w:t>《工业企业厂界环境噪声排放标准》（GB12348-2008）；</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000000" w:themeColor="text1"/>
          <w:highlight w:val="none"/>
          <w:lang w:eastAsia="zh-CN"/>
          <w14:textFill>
            <w14:solidFill>
              <w14:schemeClr w14:val="tx1"/>
            </w14:solidFill>
          </w14:textFill>
        </w:rPr>
      </w:pPr>
      <w:r>
        <w:rPr>
          <w:rFonts w:hint="eastAsia" w:ascii="Times New Roman" w:hAnsi="Times New Roman" w:eastAsia="宋体"/>
          <w:color w:val="auto"/>
          <w:szCs w:val="24"/>
          <w:lang w:val="en-US" w:eastAsia="zh-CN"/>
        </w:rPr>
        <w:t>4</w:t>
      </w:r>
      <w:r>
        <w:rPr>
          <w:rFonts w:ascii="Times New Roman" w:hAnsi="Times New Roman" w:eastAsia="宋体"/>
          <w:color w:val="auto"/>
          <w:szCs w:val="24"/>
        </w:rPr>
        <w:t>、</w:t>
      </w:r>
      <w:r>
        <w:rPr>
          <w:rFonts w:ascii="Times New Roman" w:hAnsi="Times New Roman" w:eastAsia="宋体"/>
          <w:color w:val="000000" w:themeColor="text1"/>
          <w:szCs w:val="24"/>
          <w:highlight w:val="none"/>
          <w14:textFill>
            <w14:solidFill>
              <w14:schemeClr w14:val="tx1"/>
            </w14:solidFill>
          </w14:textFill>
        </w:rPr>
        <w:t>《一般工业固体废弃物贮存</w:t>
      </w:r>
      <w:r>
        <w:rPr>
          <w:rFonts w:hint="eastAsia"/>
          <w:color w:val="000000" w:themeColor="text1"/>
          <w:szCs w:val="24"/>
          <w:highlight w:val="none"/>
          <w:lang w:val="en-US" w:eastAsia="zh-CN"/>
          <w14:textFill>
            <w14:solidFill>
              <w14:schemeClr w14:val="tx1"/>
            </w14:solidFill>
          </w14:textFill>
        </w:rPr>
        <w:t>和填埋</w:t>
      </w:r>
      <w:r>
        <w:rPr>
          <w:rFonts w:ascii="Times New Roman" w:hAnsi="Times New Roman" w:eastAsia="宋体"/>
          <w:color w:val="000000" w:themeColor="text1"/>
          <w:szCs w:val="24"/>
          <w:highlight w:val="none"/>
          <w14:textFill>
            <w14:solidFill>
              <w14:schemeClr w14:val="tx1"/>
            </w14:solidFill>
          </w14:textFill>
        </w:rPr>
        <w:t>污染控制标准》（GB18599-20</w:t>
      </w:r>
      <w:r>
        <w:rPr>
          <w:rFonts w:hint="eastAsia"/>
          <w:color w:val="000000" w:themeColor="text1"/>
          <w:szCs w:val="24"/>
          <w:highlight w:val="none"/>
          <w:lang w:val="en-US" w:eastAsia="zh-CN"/>
          <w14:textFill>
            <w14:solidFill>
              <w14:schemeClr w14:val="tx1"/>
            </w14:solidFill>
          </w14:textFill>
        </w:rPr>
        <w:t>20</w:t>
      </w:r>
      <w:r>
        <w:rPr>
          <w:rFonts w:ascii="Times New Roman" w:hAnsi="Times New Roman" w:eastAsia="宋体"/>
          <w:color w:val="000000" w:themeColor="text1"/>
          <w:szCs w:val="24"/>
          <w:highlight w:val="none"/>
          <w14:textFill>
            <w14:solidFill>
              <w14:schemeClr w14:val="tx1"/>
            </w14:solidFill>
          </w14:textFill>
        </w:rPr>
        <w:t>）</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imes New Roman" w:hAnsi="Times New Roman" w:eastAsia="宋体"/>
          <w:color w:val="auto"/>
          <w:sz w:val="24"/>
          <w:szCs w:val="24"/>
          <w:lang w:eastAsia="zh-CN"/>
        </w:rPr>
        <w:sectPr>
          <w:footerReference r:id="rId6"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7" w:name="_Toc507454863"/>
      <w:r>
        <w:rPr>
          <w:rFonts w:hint="eastAsia" w:ascii="Times New Roman" w:hAnsi="Times New Roman" w:eastAsia="宋体"/>
          <w:color w:val="auto"/>
          <w:sz w:val="24"/>
          <w:szCs w:val="24"/>
        </w:rPr>
        <w:t>5、《危险废物贮存污染控制标准》（GB18597-2001）及环保部公告2013年第36号修改单要求</w:t>
      </w:r>
      <w:r>
        <w:rPr>
          <w:rFonts w:hint="eastAsia" w:ascii="Times New Roman" w:hAnsi="Times New Roman" w:eastAsia="宋体"/>
          <w:color w:val="auto"/>
          <w:sz w:val="24"/>
          <w:szCs w:val="24"/>
          <w:lang w:eastAsia="zh-CN"/>
        </w:rPr>
        <w:t>。</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8" w:name="_Toc15866"/>
      <w:r>
        <w:rPr>
          <w:rFonts w:hint="eastAsia" w:ascii="Times New Roman" w:hAnsi="Times New Roman" w:eastAsia="宋体"/>
          <w:color w:val="auto"/>
        </w:rPr>
        <w:t>三、工程建设情况</w:t>
      </w:r>
      <w:bookmarkEnd w:id="7"/>
      <w:bookmarkEnd w:id="8"/>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9" w:name="_Toc507454864"/>
      <w:bookmarkStart w:id="10" w:name="_Toc22661"/>
      <w:r>
        <w:rPr>
          <w:rFonts w:ascii="Times New Roman" w:hAnsi="Times New Roman" w:eastAsia="宋体"/>
          <w:color w:val="auto"/>
        </w:rPr>
        <w:t>3.1</w:t>
      </w:r>
      <w:r>
        <w:rPr>
          <w:rFonts w:hint="eastAsia" w:ascii="Times New Roman" w:hAnsi="Times New Roman" w:eastAsia="宋体"/>
          <w:color w:val="auto"/>
        </w:rPr>
        <w:t>地理位置及平面布置</w:t>
      </w:r>
      <w:bookmarkEnd w:id="9"/>
      <w:bookmarkEnd w:id="10"/>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pacing w:val="-6"/>
          <w:sz w:val="24"/>
          <w:highlight w:val="yellow"/>
        </w:rPr>
      </w:pPr>
      <w:r>
        <w:rPr>
          <w:rFonts w:hint="default" w:ascii="Times New Roman" w:hAnsi="Times New Roman" w:eastAsia="宋体" w:cs="Times New Roman"/>
          <w:kern w:val="0"/>
          <w:sz w:val="24"/>
        </w:rPr>
        <w:t>项目位于</w:t>
      </w:r>
      <w:r>
        <w:rPr>
          <w:rFonts w:hint="default" w:ascii="Times New Roman" w:hAnsi="Times New Roman" w:eastAsia="宋体" w:cs="Times New Roman"/>
          <w:sz w:val="24"/>
        </w:rPr>
        <w:t>合肥市长丰县庄墓镇合淮路东侧</w:t>
      </w:r>
      <w:r>
        <w:rPr>
          <w:rFonts w:hint="eastAsia" w:ascii="Times New Roman" w:hAnsi="Times New Roman" w:eastAsia="宋体"/>
          <w:color w:val="auto"/>
          <w:sz w:val="24"/>
          <w:lang w:eastAsia="zh-CN"/>
        </w:rPr>
        <w:t>（</w:t>
      </w:r>
      <w:r>
        <w:rPr>
          <w:rFonts w:hint="eastAsia" w:ascii="Times New Roman" w:hAnsi="Times New Roman" w:eastAsia="宋体"/>
          <w:color w:val="auto"/>
          <w:sz w:val="24"/>
          <w:szCs w:val="24"/>
          <w:lang w:eastAsia="zh-CN"/>
        </w:rPr>
        <w:t>经度为</w:t>
      </w:r>
      <w:r>
        <w:rPr>
          <w:rFonts w:hint="default" w:ascii="Times New Roman" w:hAnsi="Times New Roman" w:eastAsia="宋体" w:cs="Times New Roman"/>
          <w:kern w:val="0"/>
          <w:sz w:val="24"/>
          <w:szCs w:val="24"/>
        </w:rPr>
        <w:t>117.123442</w:t>
      </w:r>
      <w:r>
        <w:rPr>
          <w:rFonts w:hint="eastAsia" w:ascii="Times New Roman" w:hAnsi="Times New Roman" w:eastAsia="宋体"/>
          <w:color w:val="auto"/>
          <w:sz w:val="24"/>
          <w:szCs w:val="24"/>
          <w:lang w:eastAsia="zh-CN"/>
        </w:rPr>
        <w:t>，纬度为</w:t>
      </w:r>
      <w:r>
        <w:rPr>
          <w:rFonts w:hint="default" w:ascii="Times New Roman" w:hAnsi="Times New Roman" w:eastAsia="宋体" w:cs="Times New Roman"/>
          <w:kern w:val="0"/>
          <w:sz w:val="24"/>
          <w:szCs w:val="24"/>
        </w:rPr>
        <w:t>32.325880</w:t>
      </w:r>
      <w:r>
        <w:rPr>
          <w:rFonts w:hint="eastAsia" w:ascii="Times New Roman" w:hAnsi="Times New Roman" w:eastAsia="宋体"/>
          <w:color w:val="auto"/>
          <w:sz w:val="24"/>
          <w:szCs w:val="24"/>
          <w:lang w:eastAsia="zh-CN"/>
        </w:rPr>
        <w:t>）</w:t>
      </w:r>
      <w:r>
        <w:rPr>
          <w:rFonts w:hint="default" w:ascii="Times New Roman" w:hAnsi="Times New Roman" w:eastAsia="宋体" w:cs="Times New Roman"/>
          <w:kern w:val="0"/>
          <w:sz w:val="24"/>
        </w:rPr>
        <w:t>，系租用合肥安玻节能玻璃技术有限公司</w:t>
      </w:r>
      <w:r>
        <w:rPr>
          <w:rFonts w:hint="eastAsia" w:ascii="Times New Roman" w:hAnsi="Times New Roman" w:eastAsia="宋体" w:cs="Times New Roman"/>
          <w:kern w:val="0"/>
          <w:sz w:val="24"/>
          <w:lang w:val="en-US" w:eastAsia="zh-CN"/>
        </w:rPr>
        <w:t>3</w:t>
      </w:r>
      <w:r>
        <w:rPr>
          <w:rFonts w:hint="default" w:ascii="Times New Roman" w:hAnsi="Times New Roman" w:eastAsia="宋体" w:cs="Times New Roman"/>
          <w:kern w:val="0"/>
          <w:sz w:val="24"/>
        </w:rPr>
        <w:t>#空置厂房东北侧部分（总建筑面积</w:t>
      </w:r>
      <w:r>
        <w:rPr>
          <w:rFonts w:hint="eastAsia" w:ascii="Times New Roman" w:hAnsi="Times New Roman" w:eastAsia="宋体" w:cs="Times New Roman"/>
          <w:kern w:val="0"/>
          <w:sz w:val="24"/>
          <w:lang w:val="en-US" w:eastAsia="zh-CN"/>
        </w:rPr>
        <w:t>2850</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2</w:t>
      </w:r>
      <w:r>
        <w:rPr>
          <w:rFonts w:hint="default" w:ascii="Times New Roman" w:hAnsi="Times New Roman" w:eastAsia="宋体" w:cs="Times New Roman"/>
          <w:kern w:val="0"/>
          <w:sz w:val="24"/>
        </w:rPr>
        <w:t>）进行生产</w:t>
      </w:r>
      <w:r>
        <w:rPr>
          <w:rFonts w:hint="eastAsia" w:ascii="Times New Roman" w:hAnsi="Times New Roman" w:eastAsia="宋体"/>
          <w:color w:val="auto"/>
          <w:sz w:val="24"/>
          <w:lang w:eastAsia="zh-CN"/>
        </w:rPr>
        <w:t>。</w:t>
      </w:r>
      <w:r>
        <w:rPr>
          <w:rFonts w:hint="eastAsia" w:ascii="Times New Roman" w:hAnsi="Times New Roman" w:eastAsia="宋体" w:cs="Times New Roman"/>
          <w:color w:val="auto"/>
          <w:spacing w:val="-6"/>
          <w:sz w:val="24"/>
        </w:rPr>
        <w:t>项目地理位置图详见图3</w:t>
      </w:r>
      <w:r>
        <w:rPr>
          <w:rFonts w:ascii="Times New Roman" w:hAnsi="Times New Roman" w:eastAsia="宋体" w:cs="Times New Roman"/>
          <w:color w:val="auto"/>
          <w:spacing w:val="-6"/>
          <w:sz w:val="24"/>
        </w:rPr>
        <w:t>.1</w:t>
      </w:r>
      <w:r>
        <w:rPr>
          <w:rFonts w:hint="eastAsia" w:ascii="Times New Roman" w:hAnsi="Times New Roman" w:eastAsia="宋体" w:cs="Times New Roman"/>
          <w:color w:val="auto"/>
          <w:spacing w:val="-6"/>
          <w:sz w:val="24"/>
        </w:rPr>
        <w:t>-1。</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项目生产区位于厂区</w:t>
      </w:r>
      <w:r>
        <w:rPr>
          <w:rFonts w:hint="eastAsia" w:ascii="Times New Roman" w:hAnsi="Times New Roman" w:eastAsia="宋体" w:cs="Times New Roman"/>
          <w:kern w:val="0"/>
          <w:sz w:val="24"/>
          <w:lang w:val="en-US" w:eastAsia="zh-CN"/>
        </w:rPr>
        <w:t>中间</w:t>
      </w:r>
      <w:r>
        <w:rPr>
          <w:rFonts w:hint="default" w:ascii="Times New Roman" w:hAnsi="Times New Roman" w:eastAsia="宋体" w:cs="Times New Roman"/>
          <w:kern w:val="0"/>
          <w:sz w:val="24"/>
        </w:rPr>
        <w:t>，</w:t>
      </w:r>
      <w:r>
        <w:rPr>
          <w:rFonts w:hint="eastAsia" w:ascii="Times New Roman" w:hAnsi="Times New Roman" w:eastAsia="宋体" w:cs="Times New Roman"/>
          <w:kern w:val="0"/>
          <w:sz w:val="24"/>
          <w:lang w:eastAsia="zh-CN"/>
        </w:rPr>
        <w:t>设置为封闭式生产车间，</w:t>
      </w:r>
      <w:r>
        <w:rPr>
          <w:rFonts w:hint="default" w:ascii="Times New Roman" w:hAnsi="Times New Roman" w:eastAsia="宋体" w:cs="Times New Roman"/>
          <w:kern w:val="0"/>
          <w:sz w:val="24"/>
        </w:rPr>
        <w:t>拟设置6条生产线</w:t>
      </w:r>
      <w:r>
        <w:rPr>
          <w:rFonts w:hint="eastAsia" w:ascii="Times New Roman" w:hAnsi="Times New Roman" w:eastAsia="宋体" w:cs="Times New Roman"/>
          <w:kern w:val="0"/>
          <w:sz w:val="24"/>
          <w:lang w:eastAsia="zh-CN"/>
        </w:rPr>
        <w:t>（目前建成</w:t>
      </w:r>
      <w:r>
        <w:rPr>
          <w:rFonts w:hint="eastAsia" w:ascii="Times New Roman" w:hAnsi="Times New Roman" w:eastAsia="宋体" w:cs="Times New Roman"/>
          <w:kern w:val="0"/>
          <w:sz w:val="24"/>
          <w:lang w:val="en-US" w:eastAsia="zh-CN"/>
        </w:rPr>
        <w:t>1条）</w:t>
      </w:r>
      <w:r>
        <w:rPr>
          <w:rFonts w:hint="default" w:ascii="Times New Roman" w:hAnsi="Times New Roman" w:eastAsia="宋体" w:cs="Times New Roman"/>
          <w:kern w:val="0"/>
          <w:sz w:val="24"/>
        </w:rPr>
        <w:t>，包括：</w:t>
      </w:r>
      <w:r>
        <w:rPr>
          <w:rFonts w:hint="eastAsia" w:ascii="Times New Roman" w:hAnsi="Times New Roman" w:eastAsia="宋体" w:cs="Times New Roman"/>
          <w:kern w:val="0"/>
          <w:sz w:val="24"/>
          <w:lang w:eastAsia="zh-CN"/>
        </w:rPr>
        <w:t>喂料、</w:t>
      </w:r>
      <w:r>
        <w:rPr>
          <w:rFonts w:hint="default" w:ascii="Times New Roman" w:hAnsi="Times New Roman" w:eastAsia="宋体" w:cs="Times New Roman"/>
          <w:kern w:val="0"/>
          <w:sz w:val="24"/>
        </w:rPr>
        <w:t>熔融挤出、冷却、切粒、包装等</w:t>
      </w:r>
      <w:r>
        <w:rPr>
          <w:rFonts w:hint="eastAsia" w:ascii="Times New Roman" w:hAnsi="Times New Roman" w:eastAsia="宋体" w:cs="Times New Roman"/>
          <w:kern w:val="0"/>
          <w:sz w:val="24"/>
          <w:lang w:eastAsia="zh-CN"/>
        </w:rPr>
        <w:t>，</w:t>
      </w:r>
      <w:r>
        <w:rPr>
          <w:rFonts w:hint="default" w:ascii="Times New Roman" w:hAnsi="Times New Roman" w:eastAsia="宋体" w:cs="Times New Roman"/>
          <w:kern w:val="0"/>
          <w:sz w:val="24"/>
        </w:rPr>
        <w:t>成品堆放区位于车间西侧；原材料堆放区位于车间西南侧；办公区位于厂区</w:t>
      </w:r>
      <w:r>
        <w:rPr>
          <w:rFonts w:hint="eastAsia" w:ascii="Times New Roman" w:hAnsi="Times New Roman" w:eastAsia="宋体" w:cs="Times New Roman"/>
          <w:kern w:val="0"/>
          <w:sz w:val="24"/>
          <w:lang w:val="en-US" w:eastAsia="zh-CN"/>
        </w:rPr>
        <w:t>西北</w:t>
      </w:r>
      <w:r>
        <w:rPr>
          <w:rFonts w:hint="default" w:ascii="Times New Roman" w:hAnsi="Times New Roman" w:eastAsia="宋体" w:cs="Times New Roman"/>
          <w:kern w:val="0"/>
          <w:sz w:val="24"/>
        </w:rPr>
        <w:t>北侧。总体来看，厂区主出入口位于车间北侧，方便厂区物料运输及人员进出；项目所在区域临近合淮路，交通便利。</w:t>
      </w:r>
    </w:p>
    <w:p>
      <w:pPr>
        <w:pStyle w:val="104"/>
        <w:pageBreakBefore w:val="0"/>
        <w:widowControl w:val="0"/>
        <w:kinsoku/>
        <w:wordWrap/>
        <w:overflowPunct/>
        <w:topLinePunct w:val="0"/>
        <w:autoSpaceDE/>
        <w:autoSpaceDN/>
        <w:bidi w:val="0"/>
        <w:adjustRightInd/>
        <w:snapToGrid/>
        <w:spacing w:line="360" w:lineRule="auto"/>
        <w:ind w:firstLine="480" w:firstLineChars="0"/>
        <w:jc w:val="left"/>
        <w:textAlignment w:val="auto"/>
        <w:rPr>
          <w:rFonts w:hint="eastAsia" w:ascii="Times New Roman" w:hAnsi="Times New Roman" w:eastAsia="宋体"/>
          <w:color w:val="auto"/>
          <w:szCs w:val="24"/>
          <w:lang w:eastAsia="zh-CN"/>
        </w:rPr>
      </w:pPr>
      <w:r>
        <w:rPr>
          <w:rFonts w:hint="eastAsia" w:ascii="Times New Roman" w:hAnsi="Times New Roman" w:eastAsia="宋体"/>
          <w:color w:val="auto"/>
          <w:szCs w:val="24"/>
          <w:lang w:eastAsia="zh-CN"/>
        </w:rPr>
        <w:t>项目总平面布置图见图</w:t>
      </w: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lang w:eastAsia="zh-CN"/>
        </w:rPr>
        <w:t>.1-</w:t>
      </w:r>
      <w:r>
        <w:rPr>
          <w:rFonts w:hint="eastAsia" w:ascii="Times New Roman" w:hAnsi="Times New Roman" w:eastAsia="宋体"/>
          <w:color w:val="auto"/>
          <w:szCs w:val="24"/>
          <w:lang w:val="en-US" w:eastAsia="zh-CN"/>
        </w:rPr>
        <w:t>3</w:t>
      </w:r>
      <w:r>
        <w:rPr>
          <w:rFonts w:hint="eastAsia" w:ascii="Times New Roman" w:hAnsi="Times New Roman" w:eastAsia="宋体"/>
          <w:color w:val="auto"/>
          <w:szCs w:val="24"/>
          <w:lang w:eastAsia="zh-CN"/>
        </w:rPr>
        <w:t>。</w:t>
      </w:r>
    </w:p>
    <w:p>
      <w:pPr>
        <w:pStyle w:val="6"/>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pPr>
    </w:p>
    <w:p>
      <w:pPr>
        <w:pStyle w:val="6"/>
        <w:rPr>
          <w:rFonts w:hint="eastAsia" w:ascii="Times New Roman" w:hAnsi="Times New Roman" w:eastAsia="宋体" w:cs="宋体"/>
          <w:color w:val="auto"/>
          <w:sz w:val="24"/>
        </w:rPr>
        <w:sectPr>
          <w:pgSz w:w="11905" w:h="16838"/>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p>
    <w:p>
      <w:pPr>
        <w:pStyle w:val="6"/>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olor w:val="auto"/>
        </w:rPr>
      </w:pPr>
      <w:r>
        <w:rPr>
          <w:rFonts w:ascii="Times New Roman" w:hAnsi="Times New Roman" w:eastAsia="宋体"/>
        </w:rPr>
        <w:drawing>
          <wp:inline distT="0" distB="0" distL="114300" distR="114300">
            <wp:extent cx="8077200" cy="4543425"/>
            <wp:effectExtent l="0" t="0" r="0" b="952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7"/>
                    <a:stretch>
                      <a:fillRect/>
                    </a:stretch>
                  </pic:blipFill>
                  <pic:spPr>
                    <a:xfrm>
                      <a:off x="0" y="0"/>
                      <a:ext cx="8077200" cy="4543425"/>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color w:val="auto"/>
          <w:sz w:val="21"/>
          <w:szCs w:val="21"/>
          <w:lang w:val="en-US" w:eastAsia="zh-CN"/>
        </w:rPr>
      </w:pPr>
      <w:r>
        <w:rPr>
          <w:rFonts w:hint="eastAsia" w:ascii="Times New Roman" w:hAnsi="Times New Roman" w:eastAsia="宋体"/>
          <w:b/>
          <w:bCs/>
          <w:color w:val="auto"/>
          <w:sz w:val="21"/>
          <w:szCs w:val="21"/>
          <w:lang w:eastAsia="zh-CN"/>
        </w:rPr>
        <w:t>图</w:t>
      </w:r>
      <w:r>
        <w:rPr>
          <w:rFonts w:hint="eastAsia" w:ascii="Times New Roman" w:hAnsi="Times New Roman" w:eastAsia="宋体"/>
          <w:b/>
          <w:bCs/>
          <w:color w:val="auto"/>
          <w:sz w:val="21"/>
          <w:szCs w:val="21"/>
          <w:lang w:val="en-US" w:eastAsia="zh-CN"/>
        </w:rPr>
        <w:t>3.1-1  项目地理位置图</w:t>
      </w:r>
    </w:p>
    <w:p>
      <w:pPr>
        <w:keepNext/>
        <w:keepLines/>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ascii="Times New Roman" w:hAnsi="Times New Roman" w:eastAsia="宋体" w:cs="宋体"/>
          <w:b w:val="0"/>
          <w:color w:val="auto"/>
          <w:sz w:val="24"/>
          <w:szCs w:val="24"/>
          <w:lang w:val="en-US" w:eastAsia="zh-CN"/>
        </w:rPr>
      </w:pPr>
    </w:p>
    <w:p>
      <w:pPr>
        <w:rPr>
          <w:rFonts w:hint="eastAsia" w:ascii="Times New Roman" w:hAnsi="Times New Roman" w:eastAsia="宋体" w:cs="宋体"/>
          <w:b w:val="0"/>
          <w:color w:val="auto"/>
          <w:sz w:val="24"/>
          <w:szCs w:val="24"/>
          <w:lang w:val="en-US" w:eastAsia="zh-CN"/>
        </w:rPr>
      </w:pPr>
    </w:p>
    <w:p>
      <w:pPr>
        <w:pStyle w:val="36"/>
        <w:rPr>
          <w:rFonts w:hint="eastAsia" w:ascii="Times New Roman" w:hAnsi="Times New Roman" w:eastAsia="宋体" w:cs="宋体"/>
          <w:b w:val="0"/>
          <w:color w:val="auto"/>
          <w:sz w:val="24"/>
          <w:szCs w:val="24"/>
          <w:lang w:val="en-US" w:eastAsia="zh-CN"/>
        </w:rPr>
      </w:pPr>
    </w:p>
    <w:p>
      <w:pPr>
        <w:pStyle w:val="36"/>
        <w:rPr>
          <w:rFonts w:hint="eastAsia" w:ascii="Times New Roman" w:hAnsi="Times New Roman" w:eastAsia="宋体" w:cs="宋体"/>
          <w:b w:val="0"/>
          <w:color w:val="auto"/>
          <w:sz w:val="24"/>
          <w:szCs w:val="24"/>
          <w:lang w:val="en-US" w:eastAsia="zh-CN"/>
        </w:rPr>
      </w:pPr>
    </w:p>
    <w:p>
      <w:pPr>
        <w:pStyle w:val="36"/>
        <w:jc w:val="center"/>
        <w:rPr>
          <w:rFonts w:hint="default" w:ascii="Times New Roman" w:hAnsi="Times New Roman" w:eastAsia="宋体" w:cs="宋体"/>
          <w:b w:val="0"/>
          <w:color w:val="auto"/>
          <w:sz w:val="24"/>
          <w:szCs w:val="24"/>
          <w:lang w:val="en-US" w:eastAsia="zh-CN"/>
        </w:rPr>
        <w:sectPr>
          <w:pgSz w:w="16838" w:h="11905" w:orient="landscape"/>
          <w:pgMar w:top="1361" w:right="1361" w:bottom="1361" w:left="1361" w:header="794" w:footer="850" w:gutter="0"/>
          <w:pgBorders>
            <w:top w:val="none" w:sz="0" w:space="0"/>
            <w:left w:val="none" w:sz="0" w:space="0"/>
            <w:bottom w:val="none" w:sz="0" w:space="0"/>
            <w:right w:val="none" w:sz="0" w:space="0"/>
          </w:pgBorders>
          <w:pgNumType w:fmt="decimal"/>
          <w:cols w:space="720" w:num="1"/>
          <w:rtlGutter w:val="0"/>
          <w:docGrid w:type="lines" w:linePitch="314" w:charSpace="0"/>
        </w:sectPr>
      </w:pPr>
      <w:r>
        <w:rPr>
          <w:rFonts w:hint="default" w:ascii="Times New Roman" w:hAnsi="Times New Roman" w:eastAsia="宋体" w:cs="Times New Roman"/>
          <w:b/>
          <w:sz w:val="24"/>
        </w:rPr>
        <w:object>
          <v:shape id="_x0000_i1025" o:spt="75" type="#_x0000_t75" style="height:413.2pt;width:708.8pt;" o:ole="t" filled="f" o:preferrelative="t" stroked="f" coordsize="21600,21600">
            <v:path/>
            <v:fill on="f" focussize="0,0"/>
            <v:stroke on="f"/>
            <v:imagedata r:id="rId19" cropleft="14694f" croptop="11863f" cropright="26127f" cropbottom="18646f" o:title=""/>
            <o:lock v:ext="edit" aspectratio="f"/>
            <w10:wrap type="none"/>
            <w10:anchorlock/>
          </v:shape>
          <o:OLEObject Type="Embed" ProgID="AutoCAD.Drawing.20" ShapeID="_x0000_i1025" DrawAspect="Content" ObjectID="_1468075725" r:id="rId18">
            <o:LockedField>false</o:LockedField>
          </o:OLEObject>
        </w:object>
      </w:r>
      <w:r>
        <w:rPr>
          <w:rFonts w:hint="eastAsia" w:ascii="Times New Roman" w:hAnsi="Times New Roman" w:eastAsia="宋体" w:cs="Times New Roman"/>
          <w:b/>
          <w:sz w:val="24"/>
          <w:lang w:eastAsia="zh-CN"/>
        </w:rPr>
        <w:t>图</w:t>
      </w:r>
      <w:r>
        <w:rPr>
          <w:rFonts w:hint="eastAsia" w:ascii="Times New Roman" w:hAnsi="Times New Roman" w:eastAsia="宋体" w:cs="Times New Roman"/>
          <w:b/>
          <w:sz w:val="24"/>
          <w:lang w:val="en-US" w:eastAsia="zh-CN"/>
        </w:rPr>
        <w:t>3.1-2  安徽安玻节能玻璃技术有限公司厂区总平面规划图</w:t>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olor w:val="auto"/>
        </w:rPr>
      </w:pPr>
      <w:r>
        <w:rPr>
          <w:rFonts w:ascii="Times New Roman" w:hAnsi="Times New Roman" w:eastAsia="宋体"/>
          <w:sz w:val="24"/>
        </w:rPr>
        <mc:AlternateContent>
          <mc:Choice Requires="wps">
            <w:drawing>
              <wp:anchor distT="0" distB="0" distL="114300" distR="114300" simplePos="0" relativeHeight="251666432" behindDoc="0" locked="0" layoutInCell="1" allowOverlap="1">
                <wp:simplePos x="0" y="0"/>
                <wp:positionH relativeFrom="column">
                  <wp:posOffset>8322310</wp:posOffset>
                </wp:positionH>
                <wp:positionV relativeFrom="paragraph">
                  <wp:posOffset>1169035</wp:posOffset>
                </wp:positionV>
                <wp:extent cx="118745" cy="415290"/>
                <wp:effectExtent l="0" t="0" r="0" b="0"/>
                <wp:wrapNone/>
                <wp:docPr id="43" name="文本框 16"/>
                <wp:cNvGraphicFramePr/>
                <a:graphic xmlns:a="http://schemas.openxmlformats.org/drawingml/2006/main">
                  <a:graphicData uri="http://schemas.microsoft.com/office/word/2010/wordprocessingShape">
                    <wps:wsp>
                      <wps:cNvSpPr txBox="1"/>
                      <wps:spPr>
                        <a:xfrm flipH="1">
                          <a:off x="0" y="0"/>
                          <a:ext cx="118745" cy="415290"/>
                        </a:xfrm>
                        <a:prstGeom prst="rect">
                          <a:avLst/>
                        </a:prstGeom>
                        <a:noFill/>
                        <a:ln>
                          <a:noFill/>
                        </a:ln>
                      </wps:spPr>
                      <wps:txbx>
                        <w:txbxContent>
                          <w:p>
                            <w:pPr>
                              <w:rPr>
                                <w:rFonts w:hint="default"/>
                                <w:lang w:val="en-US" w:eastAsia="zh-CN"/>
                              </w:rPr>
                            </w:pPr>
                          </w:p>
                        </w:txbxContent>
                      </wps:txbx>
                      <wps:bodyPr upright="1"/>
                    </wps:wsp>
                  </a:graphicData>
                </a:graphic>
              </wp:anchor>
            </w:drawing>
          </mc:Choice>
          <mc:Fallback>
            <w:pict>
              <v:shape id="文本框 16" o:spid="_x0000_s1026" o:spt="202" type="#_x0000_t202" style="position:absolute;left:0pt;flip:x;margin-left:655.3pt;margin-top:92.05pt;height:32.7pt;width:9.35pt;z-index:251666432;mso-width-relative:page;mso-height-relative:page;" filled="f" stroked="f" coordsize="21600,21600" o:gfxdata="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8472rcAAAADQEAAA8AAAAAAAAAAQAgAAAAIgAAAGRycy9kb3ducmV2LnhtbFBLAQIU&#10;ABQAAAAIAIdO4kBfbtqmtgEAAFkDAAAOAAAAAAAAAAEAIAAAACsBAABkcnMvZTJvRG9jLnhtbFBL&#10;BQYAAAAABgAGAFkBAABTBQAAAAA=&#10;">
                <v:fill on="f" focussize="0,0"/>
                <v:stroke on="f"/>
                <v:imagedata o:title=""/>
                <o:lock v:ext="edit" aspectratio="f"/>
                <v:textbox>
                  <w:txbxContent>
                    <w:p>
                      <w:pPr>
                        <w:rPr>
                          <w:rFonts w:hint="default"/>
                          <w:lang w:val="en-US" w:eastAsia="zh-CN"/>
                        </w:rPr>
                      </w:pP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5527040</wp:posOffset>
                </wp:positionH>
                <wp:positionV relativeFrom="paragraph">
                  <wp:posOffset>1043305</wp:posOffset>
                </wp:positionV>
                <wp:extent cx="266065" cy="635000"/>
                <wp:effectExtent l="12700" t="12700" r="26035" b="19050"/>
                <wp:wrapNone/>
                <wp:docPr id="51" name="矩形 51"/>
                <wp:cNvGraphicFramePr/>
                <a:graphic xmlns:a="http://schemas.openxmlformats.org/drawingml/2006/main">
                  <a:graphicData uri="http://schemas.microsoft.com/office/word/2010/wordprocessingShape">
                    <wps:wsp>
                      <wps:cNvSpPr/>
                      <wps:spPr>
                        <a:xfrm>
                          <a:off x="6454140" y="1907540"/>
                          <a:ext cx="266065"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5.2pt;margin-top:82.15pt;height:50pt;width:20.95pt;z-index:251674624;v-text-anchor:middle;mso-width-relative:page;mso-height-relative:page;" fillcolor="#FFFFFF [3212]" filled="t" stroked="t" coordsize="21600,21600" o:gfxdata="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pjUNa2gAAAAsBAAAPAAAAAAAAAAEAIAAAACIAAABkcnMvZG93bnJldi54&#10;bWxQSwECFAAUAAAACACHTuJAi4rnUWoCAADqBAAADgAAAAAAAAABACAAAAApAQAAZHJzL2Uyb0Rv&#10;Yy54bWxQSwUGAAAAAAYABgBZAQAABQYAAAAA&#10;">
                <v:fill on="t" focussize="0,0"/>
                <v:stroke weight="2pt" color="#FFFFFF [3212]" joinstyle="round"/>
                <v:imagedata o:title=""/>
                <o:lock v:ext="edit" aspectratio="f"/>
              </v:rect>
            </w:pict>
          </mc:Fallback>
        </mc:AlternateContent>
      </w:r>
      <w:r>
        <w:drawing>
          <wp:inline distT="0" distB="0" distL="114300" distR="114300">
            <wp:extent cx="8905875" cy="5524500"/>
            <wp:effectExtent l="0" t="0" r="9525"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20"/>
                    <a:stretch>
                      <a:fillRect/>
                    </a:stretch>
                  </pic:blipFill>
                  <pic:spPr>
                    <a:xfrm>
                      <a:off x="0" y="0"/>
                      <a:ext cx="8905875" cy="5524500"/>
                    </a:xfrm>
                    <a:prstGeom prst="rect">
                      <a:avLst/>
                    </a:prstGeom>
                    <a:noFill/>
                    <a:ln>
                      <a:noFill/>
                    </a:ln>
                  </pic:spPr>
                </pic:pic>
              </a:graphicData>
            </a:graphic>
          </wp:inline>
        </w:drawing>
      </w:r>
    </w:p>
    <w:p>
      <w:pPr>
        <w:pStyle w:val="10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b/>
          <w:bCs/>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b/>
          <w:bCs/>
          <w:color w:val="auto"/>
          <w:sz w:val="21"/>
          <w:szCs w:val="21"/>
          <w:lang w:eastAsia="zh-CN"/>
        </w:rPr>
        <w:t>图</w:t>
      </w:r>
      <w:r>
        <w:rPr>
          <w:rFonts w:hint="eastAsia" w:ascii="Times New Roman" w:hAnsi="Times New Roman" w:eastAsia="宋体"/>
          <w:b/>
          <w:bCs/>
          <w:color w:val="auto"/>
          <w:sz w:val="21"/>
          <w:szCs w:val="21"/>
          <w:lang w:val="en-US" w:eastAsia="zh-CN"/>
        </w:rPr>
        <w:t>3.1-3  项目总平面布置图</w:t>
      </w:r>
    </w:p>
    <w:p>
      <w:pPr>
        <w:pStyle w:val="4"/>
        <w:pageBreakBefore w:val="0"/>
        <w:widowControl w:val="0"/>
        <w:kinsoku/>
        <w:wordWrap/>
        <w:overflowPunct/>
        <w:topLinePunct w:val="0"/>
        <w:bidi w:val="0"/>
        <w:adjustRightInd/>
        <w:snapToGrid/>
        <w:spacing w:before="0" w:after="0" w:line="360" w:lineRule="auto"/>
        <w:textAlignment w:val="auto"/>
        <w:rPr>
          <w:rFonts w:hint="eastAsia" w:ascii="Times New Roman" w:hAnsi="Times New Roman" w:eastAsia="宋体"/>
          <w:color w:val="auto"/>
          <w:lang w:eastAsia="zh-CN"/>
        </w:rPr>
      </w:pPr>
      <w:bookmarkStart w:id="11" w:name="_Toc19738"/>
      <w:r>
        <w:rPr>
          <w:rFonts w:hint="eastAsia" w:ascii="Times New Roman" w:hAnsi="Times New Roman" w:eastAsia="宋体"/>
          <w:color w:val="auto"/>
        </w:rPr>
        <w:t>3.</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本项目建设内容</w:t>
      </w:r>
      <w:bookmarkEnd w:id="11"/>
    </w:p>
    <w:p>
      <w:pPr>
        <w:pStyle w:val="63"/>
        <w:ind w:firstLine="480" w:firstLineChars="0"/>
        <w:rPr>
          <w:rFonts w:ascii="Times New Roman" w:hAnsi="Times New Roman" w:eastAsia="宋体"/>
        </w:rPr>
      </w:pPr>
      <w:r>
        <w:rPr>
          <w:rFonts w:hint="eastAsia" w:ascii="Times New Roman" w:hAnsi="Times New Roman" w:eastAsia="宋体" w:cs="宋体"/>
          <w:color w:val="auto"/>
          <w:sz w:val="24"/>
          <w:highlight w:val="none"/>
          <w:lang w:eastAsia="zh-CN"/>
        </w:rPr>
        <w:t>本项目建成</w:t>
      </w:r>
      <w:r>
        <w:rPr>
          <w:rFonts w:hint="eastAsia" w:cs="宋体"/>
          <w:color w:val="auto"/>
          <w:sz w:val="24"/>
          <w:highlight w:val="none"/>
          <w:lang w:val="en-US" w:eastAsia="zh-CN"/>
        </w:rPr>
        <w:t>1</w:t>
      </w:r>
      <w:r>
        <w:rPr>
          <w:rFonts w:hint="eastAsia" w:ascii="Times New Roman" w:hAnsi="Times New Roman" w:eastAsia="宋体" w:cs="Times New Roman"/>
          <w:sz w:val="24"/>
          <w:szCs w:val="24"/>
          <w:highlight w:val="none"/>
          <w:lang w:val="en-US" w:eastAsia="zh-CN"/>
        </w:rPr>
        <w:t>条再生塑料颗粒生产线以及配套的辅助设施及环保设施</w:t>
      </w:r>
      <w:r>
        <w:rPr>
          <w:rFonts w:hint="eastAsia" w:ascii="Times New Roman" w:hAnsi="Times New Roman" w:eastAsia="宋体" w:cs="宋体"/>
          <w:color w:val="auto"/>
          <w:sz w:val="24"/>
          <w:highlight w:val="none"/>
        </w:rPr>
        <w:t>。</w:t>
      </w:r>
      <w:r>
        <w:rPr>
          <w:rFonts w:hint="eastAsia" w:ascii="Times New Roman" w:hAnsi="Times New Roman" w:eastAsia="宋体"/>
          <w:highlight w:val="none"/>
        </w:rPr>
        <w:t>项目实际投</w:t>
      </w:r>
      <w:r>
        <w:rPr>
          <w:rFonts w:ascii="Times New Roman" w:hAnsi="Times New Roman" w:eastAsia="宋体"/>
          <w:highlight w:val="none"/>
        </w:rPr>
        <w:t>资</w:t>
      </w:r>
      <w:r>
        <w:rPr>
          <w:rFonts w:hint="eastAsia"/>
          <w:color w:val="000000"/>
          <w:highlight w:val="none"/>
          <w:lang w:val="en-US" w:eastAsia="zh-CN"/>
        </w:rPr>
        <w:t>500</w:t>
      </w:r>
      <w:r>
        <w:rPr>
          <w:rFonts w:hint="eastAsia" w:ascii="Times New Roman" w:hAnsi="Times New Roman" w:eastAsia="宋体"/>
          <w:color w:val="000000"/>
          <w:highlight w:val="none"/>
        </w:rPr>
        <w:t>万</w:t>
      </w:r>
      <w:r>
        <w:rPr>
          <w:rFonts w:ascii="Times New Roman" w:hAnsi="Times New Roman" w:eastAsia="宋体"/>
          <w:color w:val="000000"/>
          <w:highlight w:val="none"/>
        </w:rPr>
        <w:t>元，其中环保投资</w:t>
      </w:r>
      <w:r>
        <w:rPr>
          <w:rFonts w:hint="eastAsia"/>
          <w:color w:val="000000"/>
          <w:highlight w:val="none"/>
          <w:lang w:val="en-US" w:eastAsia="zh-CN"/>
        </w:rPr>
        <w:t>50</w:t>
      </w:r>
      <w:r>
        <w:rPr>
          <w:rFonts w:ascii="Times New Roman" w:hAnsi="Times New Roman" w:eastAsia="宋体"/>
          <w:color w:val="000000"/>
          <w:highlight w:val="none"/>
        </w:rPr>
        <w:t>万元，占总投资的</w:t>
      </w:r>
      <w:r>
        <w:rPr>
          <w:rFonts w:hint="eastAsia"/>
          <w:color w:val="000000"/>
          <w:highlight w:val="none"/>
          <w:lang w:val="en-US" w:eastAsia="zh-CN"/>
        </w:rPr>
        <w:t>10</w:t>
      </w:r>
      <w:r>
        <w:rPr>
          <w:rFonts w:ascii="Times New Roman" w:hAnsi="Times New Roman" w:eastAsia="宋体"/>
          <w:color w:val="000000"/>
          <w:highlight w:val="none"/>
        </w:rPr>
        <w:t>%</w:t>
      </w:r>
      <w:r>
        <w:rPr>
          <w:rFonts w:ascii="Times New Roman" w:hAnsi="Times New Roman" w:eastAsia="宋体"/>
          <w:highlight w:val="none"/>
        </w:rPr>
        <w:t>。</w:t>
      </w:r>
      <w:r>
        <w:rPr>
          <w:rFonts w:hint="eastAsia" w:ascii="Times New Roman" w:hAnsi="Times New Roman" w:eastAsia="宋体"/>
          <w:highlight w:val="none"/>
        </w:rPr>
        <w:t>项目环评建设与工程实际建设内容比对</w:t>
      </w:r>
      <w:r>
        <w:rPr>
          <w:rFonts w:ascii="Times New Roman" w:hAnsi="Times New Roman" w:eastAsia="宋体"/>
          <w:highlight w:val="none"/>
        </w:rPr>
        <w:t>详见表3.</w:t>
      </w:r>
      <w:r>
        <w:rPr>
          <w:rFonts w:hint="eastAsia" w:ascii="Times New Roman" w:hAnsi="Times New Roman" w:eastAsia="宋体"/>
          <w:highlight w:val="none"/>
          <w:lang w:val="en-US" w:eastAsia="zh-CN"/>
        </w:rPr>
        <w:t>2</w:t>
      </w:r>
      <w:r>
        <w:rPr>
          <w:rFonts w:ascii="Times New Roman" w:hAnsi="Times New Roman" w:eastAsia="宋体"/>
          <w:highlight w:val="none"/>
        </w:rPr>
        <w:t>-1</w:t>
      </w:r>
      <w:r>
        <w:rPr>
          <w:rFonts w:ascii="Times New Roman" w:hAnsi="Times New Roman" w:eastAsia="宋体"/>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表3</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2</w:t>
      </w:r>
      <w:r>
        <w:rPr>
          <w:rFonts w:hint="eastAsia" w:ascii="Times New Roman" w:hAnsi="Times New Roman" w:eastAsia="宋体" w:cs="Times New Roman"/>
          <w:b/>
          <w:color w:val="auto"/>
          <w:szCs w:val="21"/>
        </w:rPr>
        <w:t>-</w:t>
      </w:r>
      <w:r>
        <w:rPr>
          <w:rFonts w:ascii="Times New Roman" w:hAnsi="Times New Roman" w:eastAsia="宋体" w:cs="Times New Roman"/>
          <w:b/>
          <w:color w:val="auto"/>
          <w:szCs w:val="21"/>
        </w:rPr>
        <w:t>1</w:t>
      </w:r>
      <w:r>
        <w:rPr>
          <w:rFonts w:hint="eastAsia" w:ascii="Times New Roman" w:hAnsi="Times New Roman" w:eastAsia="宋体" w:cs="Times New Roman"/>
          <w:b/>
          <w:color w:val="auto"/>
          <w:szCs w:val="21"/>
          <w:lang w:val="en-US" w:eastAsia="zh-CN"/>
        </w:rPr>
        <w:t xml:space="preserve">  </w:t>
      </w:r>
      <w:r>
        <w:rPr>
          <w:rFonts w:ascii="Times New Roman" w:hAnsi="Times New Roman" w:eastAsia="宋体" w:cs="Times New Roman"/>
          <w:b/>
          <w:color w:val="auto"/>
          <w:szCs w:val="21"/>
        </w:rPr>
        <w:t>工程建设情况对照表</w:t>
      </w:r>
    </w:p>
    <w:tbl>
      <w:tblPr>
        <w:tblStyle w:val="29"/>
        <w:tblW w:w="498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5"/>
        <w:gridCol w:w="764"/>
        <w:gridCol w:w="823"/>
        <w:gridCol w:w="5617"/>
        <w:gridCol w:w="4912"/>
        <w:gridCol w:w="14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36" w:hRule="atLeast"/>
          <w:jc w:val="center"/>
        </w:trPr>
        <w:tc>
          <w:tcPr>
            <w:tcW w:w="253"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工程类别</w:t>
            </w:r>
          </w:p>
        </w:tc>
        <w:tc>
          <w:tcPr>
            <w:tcW w:w="267"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工程名称</w:t>
            </w:r>
          </w:p>
        </w:tc>
        <w:tc>
          <w:tcPr>
            <w:tcW w:w="2252" w:type="pct"/>
            <w:gridSpan w:val="2"/>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环评内容</w:t>
            </w:r>
          </w:p>
        </w:tc>
        <w:tc>
          <w:tcPr>
            <w:tcW w:w="1717"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实际建设情况</w:t>
            </w:r>
          </w:p>
        </w:tc>
        <w:tc>
          <w:tcPr>
            <w:tcW w:w="508" w:type="pct"/>
            <w:tcBorders>
              <w:tl2br w:val="nil"/>
              <w:tr2bl w:val="nil"/>
            </w:tcBorders>
            <w:noWrap w:val="0"/>
            <w:vAlign w:val="center"/>
          </w:tcPr>
          <w:p>
            <w:pPr>
              <w:jc w:val="center"/>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主体</w:t>
            </w:r>
          </w:p>
          <w:p>
            <w:pPr>
              <w:jc w:val="center"/>
              <w:rPr>
                <w:rFonts w:hint="eastAsia" w:ascii="Times New Roman" w:hAnsi="Times New Roman" w:eastAsia="宋体" w:cs="宋体"/>
                <w:color w:val="auto"/>
                <w:szCs w:val="21"/>
              </w:rPr>
            </w:pPr>
            <w:r>
              <w:rPr>
                <w:rFonts w:hint="eastAsia" w:ascii="Times New Roman" w:hAnsi="Times New Roman" w:eastAsia="宋体" w:cs="宋体"/>
                <w:color w:val="auto"/>
                <w:szCs w:val="21"/>
              </w:rPr>
              <w:t>工程</w:t>
            </w:r>
          </w:p>
        </w:tc>
        <w:tc>
          <w:tcPr>
            <w:tcW w:w="267"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生产区</w:t>
            </w:r>
          </w:p>
        </w:tc>
        <w:tc>
          <w:tcPr>
            <w:tcW w:w="2252" w:type="pct"/>
            <w:gridSpan w:val="2"/>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lang w:eastAsia="zh-CN"/>
              </w:rPr>
              <w:t>位</w:t>
            </w:r>
            <w:r>
              <w:rPr>
                <w:rFonts w:hint="eastAsia" w:ascii="Times New Roman" w:hAnsi="Times New Roman" w:eastAsia="宋体" w:cs="宋体"/>
                <w:color w:val="auto"/>
                <w:sz w:val="21"/>
                <w:szCs w:val="21"/>
              </w:rPr>
              <w:t>于车间东北侧，</w:t>
            </w:r>
            <w:r>
              <w:rPr>
                <w:rFonts w:hint="eastAsia" w:ascii="Times New Roman" w:hAnsi="Times New Roman" w:eastAsia="宋体" w:cs="宋体"/>
                <w:color w:val="auto"/>
                <w:sz w:val="21"/>
                <w:szCs w:val="21"/>
                <w:lang w:eastAsia="zh-CN"/>
              </w:rPr>
              <w:t>总建筑面积</w:t>
            </w:r>
            <w:r>
              <w:rPr>
                <w:rFonts w:hint="eastAsia" w:ascii="Times New Roman" w:hAnsi="Times New Roman" w:eastAsia="宋体" w:cs="宋体"/>
                <w:color w:val="auto"/>
                <w:sz w:val="21"/>
                <w:szCs w:val="21"/>
                <w:lang w:val="en-US" w:eastAsia="zh-CN"/>
              </w:rPr>
              <w:t>900m</w:t>
            </w:r>
            <w:r>
              <w:rPr>
                <w:rFonts w:hint="eastAsia" w:ascii="Times New Roman" w:hAnsi="Times New Roman" w:eastAsia="宋体" w:cs="宋体"/>
                <w:color w:val="auto"/>
                <w:sz w:val="21"/>
                <w:szCs w:val="21"/>
                <w:vertAlign w:val="superscript"/>
                <w:lang w:val="en-US" w:eastAsia="zh-CN"/>
              </w:rPr>
              <w:t>2</w:t>
            </w:r>
            <w:r>
              <w:rPr>
                <w:rFonts w:hint="eastAsia" w:ascii="Times New Roman" w:hAnsi="Times New Roman" w:eastAsia="宋体" w:cs="宋体"/>
                <w:color w:val="auto"/>
                <w:sz w:val="21"/>
                <w:szCs w:val="21"/>
                <w:vertAlign w:val="baseline"/>
                <w:lang w:val="en-US" w:eastAsia="zh-CN"/>
              </w:rPr>
              <w:t>，</w:t>
            </w:r>
            <w:r>
              <w:rPr>
                <w:rFonts w:hint="eastAsia" w:ascii="Times New Roman" w:hAnsi="Times New Roman" w:eastAsia="宋体" w:cs="宋体"/>
                <w:color w:val="auto"/>
                <w:sz w:val="21"/>
                <w:szCs w:val="21"/>
              </w:rPr>
              <w:t>包括全封闭式生产区、包装区等，主要用于废弃塑料再生造粒加工。主要生产设备有：全自动喂料机、挤出机、冷却水槽、切粒机、料筒等。拟建设废旧塑料再生造粒生产线6条，设计年产8000吨再生颗粒。</w:t>
            </w:r>
          </w:p>
        </w:tc>
        <w:tc>
          <w:tcPr>
            <w:tcW w:w="1717" w:type="pct"/>
            <w:tcBorders>
              <w:tl2br w:val="nil"/>
              <w:tr2bl w:val="nil"/>
            </w:tcBorders>
            <w:noWrap w:val="0"/>
            <w:vAlign w:val="center"/>
          </w:tcPr>
          <w:p>
            <w:pPr>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lang w:eastAsia="zh-CN"/>
              </w:rPr>
              <w:t>位</w:t>
            </w:r>
            <w:r>
              <w:rPr>
                <w:rFonts w:hint="eastAsia" w:ascii="Times New Roman" w:hAnsi="Times New Roman" w:eastAsia="宋体" w:cs="宋体"/>
                <w:color w:val="auto"/>
                <w:sz w:val="21"/>
                <w:szCs w:val="21"/>
              </w:rPr>
              <w:t>于车间</w:t>
            </w:r>
            <w:r>
              <w:rPr>
                <w:rFonts w:hint="eastAsia" w:ascii="Times New Roman" w:hAnsi="Times New Roman" w:eastAsia="宋体" w:cs="宋体"/>
                <w:color w:val="auto"/>
                <w:sz w:val="21"/>
                <w:szCs w:val="21"/>
                <w:lang w:val="en-US" w:eastAsia="zh-CN"/>
              </w:rPr>
              <w:t>中间</w:t>
            </w:r>
            <w:r>
              <w:rPr>
                <w:rFonts w:hint="eastAsia" w:ascii="Times New Roman" w:hAnsi="Times New Roman" w:eastAsia="宋体" w:cs="宋体"/>
                <w:color w:val="auto"/>
                <w:sz w:val="21"/>
                <w:szCs w:val="21"/>
              </w:rPr>
              <w:t>，</w:t>
            </w:r>
            <w:r>
              <w:rPr>
                <w:rFonts w:hint="eastAsia" w:ascii="Times New Roman" w:hAnsi="Times New Roman" w:eastAsia="宋体" w:cs="宋体"/>
                <w:color w:val="auto"/>
                <w:sz w:val="21"/>
                <w:szCs w:val="21"/>
                <w:lang w:eastAsia="zh-CN"/>
              </w:rPr>
              <w:t>总建筑面积</w:t>
            </w:r>
            <w:r>
              <w:rPr>
                <w:rFonts w:hint="eastAsia" w:ascii="Times New Roman" w:hAnsi="Times New Roman" w:eastAsia="宋体" w:cs="宋体"/>
                <w:color w:val="auto"/>
                <w:sz w:val="21"/>
                <w:szCs w:val="21"/>
                <w:lang w:val="en-US" w:eastAsia="zh-CN"/>
              </w:rPr>
              <w:t>570m</w:t>
            </w:r>
            <w:r>
              <w:rPr>
                <w:rFonts w:hint="eastAsia" w:ascii="Times New Roman" w:hAnsi="Times New Roman" w:eastAsia="宋体" w:cs="宋体"/>
                <w:color w:val="auto"/>
                <w:sz w:val="21"/>
                <w:szCs w:val="21"/>
                <w:vertAlign w:val="superscript"/>
                <w:lang w:val="en-US" w:eastAsia="zh-CN"/>
              </w:rPr>
              <w:t>2</w:t>
            </w:r>
            <w:r>
              <w:rPr>
                <w:rFonts w:hint="eastAsia" w:ascii="Times New Roman" w:hAnsi="Times New Roman" w:eastAsia="宋体" w:cs="宋体"/>
                <w:color w:val="auto"/>
                <w:sz w:val="21"/>
                <w:szCs w:val="21"/>
                <w:vertAlign w:val="baseline"/>
                <w:lang w:val="en-US" w:eastAsia="zh-CN"/>
              </w:rPr>
              <w:t>，</w:t>
            </w:r>
            <w:r>
              <w:rPr>
                <w:rFonts w:hint="eastAsia" w:ascii="Times New Roman" w:hAnsi="Times New Roman" w:eastAsia="宋体" w:cs="宋体"/>
                <w:color w:val="auto"/>
                <w:sz w:val="21"/>
                <w:szCs w:val="21"/>
              </w:rPr>
              <w:t>包括全封闭式生产区、包装区等，主要用于废弃塑料再生造粒加工。主要生产设备有：全自动喂料机、挤出机、冷却水槽、切粒机、料筒等。</w:t>
            </w:r>
            <w:r>
              <w:rPr>
                <w:rFonts w:hint="eastAsia" w:ascii="Times New Roman" w:hAnsi="Times New Roman" w:eastAsia="宋体" w:cs="宋体"/>
                <w:color w:val="auto"/>
                <w:sz w:val="21"/>
                <w:szCs w:val="21"/>
                <w:lang w:eastAsia="zh-CN"/>
              </w:rPr>
              <w:t>建成</w:t>
            </w:r>
            <w:r>
              <w:rPr>
                <w:rFonts w:hint="eastAsia" w:ascii="Times New Roman" w:hAnsi="Times New Roman" w:eastAsia="宋体" w:cs="宋体"/>
                <w:color w:val="auto"/>
                <w:sz w:val="21"/>
                <w:szCs w:val="21"/>
              </w:rPr>
              <w:t>废旧塑料再生造粒生产线条，</w:t>
            </w:r>
            <w:r>
              <w:rPr>
                <w:rFonts w:hint="eastAsia" w:ascii="Times New Roman" w:hAnsi="Times New Roman" w:eastAsia="宋体" w:cs="宋体"/>
                <w:color w:val="auto"/>
                <w:sz w:val="21"/>
                <w:szCs w:val="21"/>
                <w:lang w:eastAsia="zh-CN"/>
              </w:rPr>
              <w:t>可达到</w:t>
            </w:r>
            <w:r>
              <w:rPr>
                <w:rFonts w:hint="eastAsia" w:ascii="Times New Roman" w:hAnsi="Times New Roman" w:eastAsia="宋体" w:cs="宋体"/>
                <w:color w:val="auto"/>
                <w:sz w:val="21"/>
                <w:szCs w:val="21"/>
                <w:lang w:val="en-US" w:eastAsia="zh-CN"/>
              </w:rPr>
              <w:t>1300吨</w:t>
            </w:r>
            <w:r>
              <w:rPr>
                <w:rFonts w:hint="eastAsia" w:ascii="Times New Roman" w:hAnsi="Times New Roman" w:eastAsia="宋体" w:cs="宋体"/>
                <w:color w:val="auto"/>
                <w:sz w:val="21"/>
                <w:szCs w:val="21"/>
              </w:rPr>
              <w:t>再生颗粒</w:t>
            </w:r>
            <w:r>
              <w:rPr>
                <w:rFonts w:hint="eastAsia" w:ascii="Times New Roman" w:hAnsi="Times New Roman" w:eastAsia="宋体" w:cs="宋体"/>
                <w:color w:val="auto"/>
                <w:sz w:val="21"/>
                <w:szCs w:val="21"/>
                <w:lang w:eastAsia="zh-CN"/>
              </w:rPr>
              <w:t>的规模</w:t>
            </w:r>
            <w:r>
              <w:rPr>
                <w:rFonts w:hint="eastAsia" w:ascii="Times New Roman" w:hAnsi="Times New Roman" w:eastAsia="宋体" w:cs="宋体"/>
                <w:color w:val="auto"/>
                <w:sz w:val="21"/>
                <w:szCs w:val="21"/>
              </w:rPr>
              <w:t>。</w:t>
            </w:r>
          </w:p>
        </w:tc>
        <w:tc>
          <w:tcPr>
            <w:tcW w:w="508"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 w:val="21"/>
                <w:szCs w:val="21"/>
                <w:lang w:eastAsia="zh-CN"/>
              </w:rPr>
              <w:t>建成</w:t>
            </w:r>
            <w:r>
              <w:rPr>
                <w:rFonts w:hint="eastAsia" w:ascii="Times New Roman" w:hAnsi="Times New Roman" w:eastAsia="宋体" w:cs="宋体"/>
                <w:color w:val="auto"/>
                <w:sz w:val="21"/>
                <w:szCs w:val="21"/>
                <w:lang w:val="en-US" w:eastAsia="zh-CN"/>
              </w:rPr>
              <w:t>1条生产线，本次对建成的生产线进行阶段性验收。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辅助工程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办公区</w:t>
            </w:r>
          </w:p>
        </w:tc>
        <w:tc>
          <w:tcPr>
            <w:tcW w:w="2252" w:type="pct"/>
            <w:gridSpan w:val="2"/>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位于厂区北侧中间，总建筑面积112m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主要用于厂区日常办公、会议等。</w:t>
            </w:r>
          </w:p>
        </w:tc>
        <w:tc>
          <w:tcPr>
            <w:tcW w:w="1717" w:type="pct"/>
            <w:tcBorders>
              <w:tl2br w:val="nil"/>
              <w:tr2bl w:val="nil"/>
            </w:tcBorders>
            <w:noWrap w:val="0"/>
            <w:vAlign w:val="center"/>
          </w:tcPr>
          <w:p>
            <w:pPr>
              <w:jc w:val="center"/>
              <w:rPr>
                <w:rFonts w:hint="eastAsia" w:ascii="Times New Roman" w:hAnsi="Times New Roman" w:eastAsia="宋体" w:cs="宋体"/>
                <w:color w:val="auto"/>
                <w:szCs w:val="21"/>
              </w:rPr>
            </w:pPr>
            <w:r>
              <w:rPr>
                <w:rFonts w:hint="default" w:ascii="Times New Roman" w:hAnsi="Times New Roman" w:eastAsia="宋体" w:cs="Times New Roman"/>
                <w:szCs w:val="21"/>
              </w:rPr>
              <w:t>位于厂区</w:t>
            </w:r>
            <w:r>
              <w:rPr>
                <w:rFonts w:hint="eastAsia" w:ascii="Times New Roman" w:hAnsi="Times New Roman" w:eastAsia="宋体" w:cs="Times New Roman"/>
                <w:szCs w:val="21"/>
                <w:lang w:val="en-US" w:eastAsia="zh-CN"/>
              </w:rPr>
              <w:t>西北侧</w:t>
            </w:r>
            <w:r>
              <w:rPr>
                <w:rFonts w:hint="default" w:ascii="Times New Roman" w:hAnsi="Times New Roman" w:eastAsia="宋体" w:cs="Times New Roman"/>
                <w:szCs w:val="21"/>
              </w:rPr>
              <w:t>，总建筑面积</w:t>
            </w:r>
            <w:r>
              <w:rPr>
                <w:rFonts w:hint="eastAsia" w:ascii="Times New Roman" w:hAnsi="Times New Roman" w:eastAsia="宋体" w:cs="Times New Roman"/>
                <w:szCs w:val="21"/>
                <w:lang w:val="en-US" w:eastAsia="zh-CN"/>
              </w:rPr>
              <w:t>20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主要用于厂区日常办公、会议等。</w:t>
            </w:r>
          </w:p>
        </w:tc>
        <w:tc>
          <w:tcPr>
            <w:tcW w:w="508" w:type="pct"/>
            <w:tcBorders>
              <w:tl2br w:val="nil"/>
              <w:tr2bl w:val="nil"/>
            </w:tcBorders>
            <w:noWrap w:val="0"/>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1条生产线，面积比环评设计的要少。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储运工程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原材料堆放区</w:t>
            </w:r>
          </w:p>
        </w:tc>
        <w:tc>
          <w:tcPr>
            <w:tcW w:w="2252"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位于车间内西南侧及东南侧，总建筑面积3000m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主要用于外购废弃塑料临时堆放。厂区最大存储量不超过120吨，最大存储周期不超过5天。</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位于车间内西南侧及东南侧，总建筑面积</w:t>
            </w:r>
            <w:r>
              <w:rPr>
                <w:rFonts w:hint="eastAsia" w:ascii="Times New Roman" w:hAnsi="Times New Roman" w:eastAsia="宋体" w:cs="Times New Roman"/>
                <w:szCs w:val="21"/>
                <w:lang w:val="en-US" w:eastAsia="zh-CN"/>
              </w:rPr>
              <w:t>1350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主要用于外购废弃塑料临时堆放。厂区最大存储量不超过120吨，最大存储周期不超过5天。</w:t>
            </w:r>
          </w:p>
        </w:tc>
        <w:tc>
          <w:tcPr>
            <w:tcW w:w="508"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1条生产线，面积比环评设计的要少。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成品堆放区</w:t>
            </w:r>
          </w:p>
        </w:tc>
        <w:tc>
          <w:tcPr>
            <w:tcW w:w="2252"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位于车间内西北侧，总建筑面积1</w:t>
            </w:r>
            <w:r>
              <w:rPr>
                <w:rFonts w:hint="eastAsia" w:ascii="Times New Roman" w:hAnsi="Times New Roman" w:eastAsia="宋体" w:cs="Times New Roman"/>
                <w:szCs w:val="21"/>
                <w:lang w:val="en-US" w:eastAsia="zh-CN"/>
              </w:rPr>
              <w:t>5</w:t>
            </w:r>
            <w:r>
              <w:rPr>
                <w:rFonts w:hint="default" w:ascii="Times New Roman" w:hAnsi="Times New Roman" w:eastAsia="宋体" w:cs="Times New Roman"/>
                <w:szCs w:val="21"/>
              </w:rPr>
              <w:t>00m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主要用于成品再生塑料颗粒的存储。厂区最大存储量不超过120吨，最大存储周期不超过5天。</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位于车间内西侧，总建筑面积</w:t>
            </w:r>
            <w:r>
              <w:rPr>
                <w:rFonts w:hint="eastAsia" w:ascii="Times New Roman" w:hAnsi="Times New Roman" w:eastAsia="宋体" w:cs="Times New Roman"/>
                <w:szCs w:val="21"/>
                <w:lang w:val="en-US" w:eastAsia="zh-CN"/>
              </w:rPr>
              <w:t>700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r>
              <w:rPr>
                <w:rFonts w:hint="eastAsia" w:ascii="Times New Roman" w:hAnsi="Times New Roman" w:eastAsia="宋体" w:cs="Times New Roman"/>
                <w:szCs w:val="21"/>
                <w:vertAlign w:val="baseline"/>
                <w:lang w:eastAsia="zh-CN"/>
              </w:rPr>
              <w:t>，</w:t>
            </w:r>
            <w:r>
              <w:rPr>
                <w:rFonts w:hint="default" w:ascii="Times New Roman" w:hAnsi="Times New Roman" w:eastAsia="宋体" w:cs="Times New Roman"/>
                <w:szCs w:val="21"/>
              </w:rPr>
              <w:t>主要用于成品再生塑料颗粒的存储。厂区最大存储量不超过120吨，最大存储周期不超过5天。</w:t>
            </w:r>
          </w:p>
        </w:tc>
        <w:tc>
          <w:tcPr>
            <w:tcW w:w="508"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1条生产线，面积比环评设计的要少。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14"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公用工程</w:t>
            </w: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给水</w:t>
            </w:r>
          </w:p>
        </w:tc>
        <w:tc>
          <w:tcPr>
            <w:tcW w:w="2252"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用水由长丰县庄墓镇市政自来水管网集中供应，主要用于生产及生活</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用水量为</w:t>
            </w:r>
            <w:r>
              <w:rPr>
                <w:rFonts w:hint="default" w:ascii="Times New Roman" w:hAnsi="Times New Roman" w:eastAsia="宋体" w:cs="Times New Roman"/>
                <w:kern w:val="0"/>
                <w:szCs w:val="21"/>
                <w:lang w:val="en-US" w:eastAsia="zh-CN"/>
              </w:rPr>
              <w:t>462</w:t>
            </w:r>
            <w:r>
              <w:rPr>
                <w:rFonts w:hint="default" w:ascii="Times New Roman" w:hAnsi="Times New Roman" w:eastAsia="宋体" w:cs="Times New Roman"/>
                <w:kern w:val="0"/>
                <w:szCs w:val="21"/>
              </w:rPr>
              <w:t>.36t/a</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用水由长丰县庄墓镇市政自来水管网集中供应，主要用于生产及生活</w:t>
            </w:r>
            <w:r>
              <w:rPr>
                <w:rFonts w:hint="eastAsia"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rPr>
              <w:t>用水量为</w:t>
            </w:r>
            <w:r>
              <w:rPr>
                <w:rFonts w:hint="eastAsia" w:ascii="Times New Roman" w:hAnsi="Times New Roman" w:eastAsia="宋体" w:cs="Times New Roman"/>
                <w:color w:val="auto"/>
                <w:kern w:val="0"/>
                <w:szCs w:val="21"/>
                <w:lang w:val="en-US" w:eastAsia="zh-CN"/>
              </w:rPr>
              <w:t>169.56</w:t>
            </w:r>
            <w:r>
              <w:rPr>
                <w:rFonts w:hint="default" w:ascii="Times New Roman" w:hAnsi="Times New Roman" w:eastAsia="宋体" w:cs="Times New Roman"/>
                <w:color w:val="000000" w:themeColor="text1"/>
                <w:kern w:val="0"/>
                <w:szCs w:val="21"/>
                <w:highlight w:val="none"/>
                <w14:textFill>
                  <w14:solidFill>
                    <w14:schemeClr w14:val="tx1"/>
                  </w14:solidFill>
                </w14:textFill>
              </w:rPr>
              <w:t>t/</w:t>
            </w:r>
            <w:r>
              <w:rPr>
                <w:rFonts w:hint="default" w:ascii="Times New Roman" w:hAnsi="Times New Roman" w:eastAsia="宋体" w:cs="Times New Roman"/>
                <w:color w:val="000000" w:themeColor="text1"/>
                <w:kern w:val="0"/>
                <w:szCs w:val="21"/>
                <w14:textFill>
                  <w14:solidFill>
                    <w14:schemeClr w14:val="tx1"/>
                  </w14:solidFill>
                </w14:textFill>
              </w:rPr>
              <w:t>a</w:t>
            </w:r>
            <w:r>
              <w:rPr>
                <w:rFonts w:hint="eastAsia" w:ascii="Times New Roman" w:hAnsi="Times New Roman" w:eastAsia="宋体" w:cs="Times New Roman"/>
                <w:color w:val="000000" w:themeColor="text1"/>
                <w:kern w:val="0"/>
                <w:szCs w:val="21"/>
                <w:lang w:eastAsia="zh-CN"/>
                <w14:textFill>
                  <w14:solidFill>
                    <w14:schemeClr w14:val="tx1"/>
                  </w14:solidFill>
                </w14:textFill>
              </w:rPr>
              <w:t>。</w:t>
            </w:r>
            <w:r>
              <w:rPr>
                <w:rFonts w:hint="eastAsia" w:ascii="Times New Roman" w:hAnsi="Times New Roman" w:eastAsia="宋体" w:cs="Times New Roman"/>
                <w:color w:val="auto"/>
                <w:kern w:val="0"/>
                <w:szCs w:val="21"/>
                <w:lang w:val="en-US" w:eastAsia="zh-CN"/>
              </w:rPr>
              <w:t xml:space="preserve">             </w:t>
            </w:r>
          </w:p>
        </w:tc>
        <w:tc>
          <w:tcPr>
            <w:tcW w:w="508" w:type="pct"/>
            <w:tcBorders>
              <w:tl2br w:val="nil"/>
              <w:tr2bl w:val="nil"/>
            </w:tcBorders>
            <w:noWrap w:val="0"/>
            <w:vAlign w:val="center"/>
          </w:tcPr>
          <w:p>
            <w:pPr>
              <w:jc w:val="center"/>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1条生产线，用水量比环评设计的用水量少。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供电</w:t>
            </w:r>
          </w:p>
        </w:tc>
        <w:tc>
          <w:tcPr>
            <w:tcW w:w="2252" w:type="pct"/>
            <w:gridSpan w:val="2"/>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由长丰县庄墓镇市政供电管网统一供应</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用电量100万度/a</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color w:val="FF0000"/>
                <w:kern w:val="0"/>
                <w:sz w:val="21"/>
                <w:szCs w:val="21"/>
                <w:lang w:val="en-US" w:eastAsia="zh-CN" w:bidi="ar-SA"/>
              </w:rPr>
            </w:pPr>
            <w:r>
              <w:rPr>
                <w:rFonts w:hint="default" w:ascii="Times New Roman" w:hAnsi="Times New Roman" w:eastAsia="宋体" w:cs="Times New Roman"/>
                <w:color w:val="auto"/>
                <w:kern w:val="0"/>
                <w:szCs w:val="21"/>
              </w:rPr>
              <w:t>由长丰县庄墓镇市政供电管网统一供应</w:t>
            </w:r>
            <w:r>
              <w:rPr>
                <w:rFonts w:hint="eastAsia" w:ascii="Times New Roman" w:hAnsi="Times New Roman" w:eastAsia="宋体" w:cs="Times New Roman"/>
                <w:color w:val="auto"/>
                <w:kern w:val="0"/>
                <w:szCs w:val="21"/>
                <w:lang w:eastAsia="zh-CN"/>
              </w:rPr>
              <w:t>，</w:t>
            </w:r>
            <w:r>
              <w:rPr>
                <w:rFonts w:hint="default" w:ascii="Times New Roman" w:hAnsi="Times New Roman" w:eastAsia="宋体" w:cs="Times New Roman"/>
                <w:color w:val="auto"/>
                <w:kern w:val="0"/>
                <w:szCs w:val="21"/>
              </w:rPr>
              <w:t>用电量</w:t>
            </w:r>
            <w:r>
              <w:rPr>
                <w:rFonts w:hint="eastAsia" w:ascii="Times New Roman" w:hAnsi="Times New Roman" w:eastAsia="宋体" w:cs="Times New Roman"/>
                <w:color w:val="auto"/>
                <w:kern w:val="0"/>
                <w:szCs w:val="21"/>
                <w:lang w:val="en-US" w:eastAsia="zh-CN"/>
              </w:rPr>
              <w:t>25</w:t>
            </w:r>
            <w:r>
              <w:rPr>
                <w:rFonts w:hint="default" w:ascii="Times New Roman" w:hAnsi="Times New Roman" w:eastAsia="宋体" w:cs="Times New Roman"/>
                <w:color w:val="auto"/>
                <w:kern w:val="0"/>
                <w:szCs w:val="21"/>
              </w:rPr>
              <w:t>万度/a</w:t>
            </w:r>
            <w:r>
              <w:rPr>
                <w:rFonts w:hint="eastAsia" w:ascii="Times New Roman" w:hAnsi="Times New Roman" w:eastAsia="宋体" w:cs="Times New Roman"/>
                <w:color w:val="auto"/>
                <w:kern w:val="0"/>
                <w:szCs w:val="21"/>
                <w:lang w:eastAsia="zh-CN"/>
              </w:rPr>
              <w:t>。</w:t>
            </w:r>
          </w:p>
        </w:tc>
        <w:tc>
          <w:tcPr>
            <w:tcW w:w="508" w:type="pct"/>
            <w:tcBorders>
              <w:tl2br w:val="nil"/>
              <w:tr2bl w:val="nil"/>
            </w:tcBorders>
            <w:noWrap w:val="0"/>
            <w:vAlign w:val="center"/>
          </w:tcPr>
          <w:p>
            <w:pPr>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1条生产线，用电量比环评设计的用电量要少。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排水</w:t>
            </w:r>
          </w:p>
        </w:tc>
        <w:tc>
          <w:tcPr>
            <w:tcW w:w="2252" w:type="pct"/>
            <w:gridSpan w:val="2"/>
            <w:tcBorders>
              <w:tl2br w:val="nil"/>
              <w:tr2bl w:val="nil"/>
            </w:tcBorders>
            <w:noWrap w:val="0"/>
            <w:vAlign w:val="center"/>
          </w:tcPr>
          <w:p>
            <w:pPr>
              <w:autoSpaceDE w:val="0"/>
              <w:autoSpaceDN w:val="0"/>
              <w:adjustRightInd w:val="0"/>
              <w:snapToGrid w:val="0"/>
              <w:spacing w:line="240" w:lineRule="auto"/>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项目采取雨污分流，雨水经厂区雨水管道收集后排入</w:t>
            </w:r>
            <w:r>
              <w:rPr>
                <w:rFonts w:hint="default" w:ascii="Times New Roman" w:hAnsi="Times New Roman" w:eastAsia="宋体" w:cs="Times New Roman"/>
                <w:kern w:val="0"/>
                <w:szCs w:val="21"/>
                <w:lang w:eastAsia="zh-CN"/>
              </w:rPr>
              <w:t>附近沟渠</w:t>
            </w:r>
            <w:r>
              <w:rPr>
                <w:rFonts w:hint="default" w:ascii="Times New Roman" w:hAnsi="Times New Roman" w:eastAsia="宋体" w:cs="Times New Roman"/>
                <w:kern w:val="0"/>
                <w:szCs w:val="21"/>
              </w:rPr>
              <w:t>；</w:t>
            </w:r>
          </w:p>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冷却水循环使用，不外排；办公生活污水、保洁废水经化粪池预处理后进入一体化污水处理设备处理后用于厂区绿化</w:t>
            </w:r>
            <w:r>
              <w:rPr>
                <w:rFonts w:hint="eastAsia" w:ascii="Times New Roman" w:hAnsi="Times New Roman" w:eastAsia="宋体" w:cs="Times New Roman"/>
                <w:szCs w:val="21"/>
                <w:lang w:eastAsia="zh-CN"/>
              </w:rPr>
              <w:t>，</w:t>
            </w:r>
            <w:r>
              <w:rPr>
                <w:rFonts w:hint="default" w:ascii="Times New Roman" w:hAnsi="Times New Roman" w:eastAsia="宋体" w:cs="Times New Roman"/>
                <w:kern w:val="0"/>
                <w:szCs w:val="21"/>
              </w:rPr>
              <w:t>年</w:t>
            </w:r>
            <w:r>
              <w:rPr>
                <w:rFonts w:hint="eastAsia" w:ascii="Times New Roman" w:hAnsi="Times New Roman" w:eastAsia="宋体" w:cs="Times New Roman"/>
                <w:kern w:val="0"/>
                <w:szCs w:val="21"/>
                <w:lang w:val="en-US" w:eastAsia="zh-CN"/>
              </w:rPr>
              <w:t>用</w:t>
            </w:r>
            <w:r>
              <w:rPr>
                <w:rFonts w:hint="default" w:ascii="Times New Roman" w:hAnsi="Times New Roman" w:eastAsia="宋体" w:cs="Times New Roman"/>
                <w:kern w:val="0"/>
                <w:szCs w:val="21"/>
              </w:rPr>
              <w:t>水量</w:t>
            </w:r>
            <w:r>
              <w:rPr>
                <w:rFonts w:hint="eastAsia" w:ascii="Times New Roman" w:hAnsi="Times New Roman" w:eastAsia="宋体" w:cs="Times New Roman"/>
                <w:kern w:val="0"/>
                <w:szCs w:val="21"/>
                <w:lang w:val="en-US" w:eastAsia="zh-CN"/>
              </w:rPr>
              <w:t>462.36</w:t>
            </w:r>
            <w:r>
              <w:rPr>
                <w:rFonts w:hint="default" w:ascii="Times New Roman" w:hAnsi="Times New Roman" w:eastAsia="宋体" w:cs="Times New Roman"/>
                <w:color w:val="000000" w:themeColor="text1"/>
                <w:kern w:val="0"/>
                <w:szCs w:val="21"/>
                <w:highlight w:val="none"/>
                <w14:textFill>
                  <w14:solidFill>
                    <w14:schemeClr w14:val="tx1"/>
                  </w14:solidFill>
                </w14:textFill>
              </w:rPr>
              <w:t>t/</w:t>
            </w:r>
            <w:r>
              <w:rPr>
                <w:rFonts w:hint="default" w:ascii="Times New Roman" w:hAnsi="Times New Roman" w:eastAsia="宋体" w:cs="Times New Roman"/>
                <w:color w:val="000000" w:themeColor="text1"/>
                <w:kern w:val="0"/>
                <w:szCs w:val="21"/>
                <w14:textFill>
                  <w14:solidFill>
                    <w14:schemeClr w14:val="tx1"/>
                  </w14:solidFill>
                </w14:textFill>
              </w:rPr>
              <w:t>a</w:t>
            </w:r>
            <w:r>
              <w:rPr>
                <w:rFonts w:hint="eastAsia" w:ascii="Times New Roman" w:hAnsi="Times New Roman" w:eastAsia="宋体" w:cs="Times New Roman"/>
                <w:color w:val="000000" w:themeColor="text1"/>
                <w:kern w:val="0"/>
                <w:szCs w:val="21"/>
                <w:lang w:eastAsia="zh-CN"/>
                <w14:textFill>
                  <w14:solidFill>
                    <w14:schemeClr w14:val="tx1"/>
                  </w14:solidFill>
                </w14:textFill>
              </w:rPr>
              <w:t>。</w:t>
            </w:r>
            <w:r>
              <w:rPr>
                <w:rFonts w:hint="eastAsia" w:ascii="Times New Roman" w:hAnsi="Times New Roman" w:eastAsia="宋体" w:cs="Times New Roman"/>
                <w:color w:val="auto"/>
                <w:kern w:val="0"/>
                <w:szCs w:val="21"/>
                <w:lang w:val="en-US" w:eastAsia="zh-CN"/>
              </w:rPr>
              <w:t xml:space="preserve">  </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项目采取雨污分流，雨水经厂区雨水管道收集后排入</w:t>
            </w:r>
            <w:r>
              <w:rPr>
                <w:rFonts w:hint="default" w:ascii="Times New Roman" w:hAnsi="Times New Roman" w:eastAsia="宋体" w:cs="Times New Roman"/>
                <w:kern w:val="0"/>
                <w:szCs w:val="21"/>
                <w:lang w:eastAsia="zh-CN"/>
              </w:rPr>
              <w:t>附近沟渠</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val="en-US" w:eastAsia="zh-CN"/>
              </w:rPr>
              <w:t xml:space="preserve"> </w:t>
            </w:r>
            <w:r>
              <w:rPr>
                <w:rFonts w:hint="default" w:ascii="Times New Roman" w:hAnsi="Times New Roman" w:eastAsia="宋体" w:cs="Times New Roman"/>
                <w:szCs w:val="21"/>
              </w:rPr>
              <w:t>冷却水循环使用，不外排；办公生活污水、保洁废水经化粪池预处理后进入一体化污水处理设备处理后用于厂区绿化</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年用水</w:t>
            </w:r>
            <w:r>
              <w:rPr>
                <w:rFonts w:hint="eastAsia" w:ascii="Times New Roman" w:hAnsi="Times New Roman" w:eastAsia="宋体" w:cs="Times New Roman"/>
                <w:color w:val="auto"/>
                <w:kern w:val="0"/>
                <w:szCs w:val="21"/>
                <w:lang w:val="en-US" w:eastAsia="zh-CN"/>
              </w:rPr>
              <w:t>169.5</w:t>
            </w:r>
            <w:r>
              <w:rPr>
                <w:rFonts w:hint="default" w:ascii="Times New Roman" w:hAnsi="Times New Roman" w:eastAsia="宋体" w:cs="Times New Roman"/>
                <w:color w:val="000000" w:themeColor="text1"/>
                <w:kern w:val="0"/>
                <w:szCs w:val="21"/>
                <w:highlight w:val="none"/>
                <w14:textFill>
                  <w14:solidFill>
                    <w14:schemeClr w14:val="tx1"/>
                  </w14:solidFill>
                </w14:textFill>
              </w:rPr>
              <w:t>t/</w:t>
            </w:r>
            <w:r>
              <w:rPr>
                <w:rFonts w:hint="default" w:ascii="Times New Roman" w:hAnsi="Times New Roman" w:eastAsia="宋体" w:cs="Times New Roman"/>
                <w:color w:val="000000" w:themeColor="text1"/>
                <w:kern w:val="0"/>
                <w:szCs w:val="21"/>
                <w14:textFill>
                  <w14:solidFill>
                    <w14:schemeClr w14:val="tx1"/>
                  </w14:solidFill>
                </w14:textFill>
              </w:rPr>
              <w:t>a</w:t>
            </w:r>
            <w:r>
              <w:rPr>
                <w:rFonts w:hint="eastAsia" w:ascii="Times New Roman" w:hAnsi="Times New Roman" w:eastAsia="宋体" w:cs="Times New Roman"/>
                <w:color w:val="auto"/>
                <w:kern w:val="0"/>
                <w:szCs w:val="21"/>
                <w:lang w:val="en-US" w:eastAsia="zh-CN"/>
              </w:rPr>
              <w:t xml:space="preserve">  </w:t>
            </w:r>
            <w:r>
              <w:rPr>
                <w:rFonts w:hint="eastAsia" w:ascii="Times New Roman" w:hAnsi="Times New Roman" w:eastAsia="宋体" w:cs="Times New Roman"/>
                <w:kern w:val="0"/>
                <w:szCs w:val="21"/>
                <w:lang w:eastAsia="zh-CN"/>
              </w:rPr>
              <w:t>。</w:t>
            </w:r>
          </w:p>
        </w:tc>
        <w:tc>
          <w:tcPr>
            <w:tcW w:w="508"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Cs w:val="21"/>
                <w:lang w:eastAsia="zh-CN"/>
              </w:rPr>
              <w:t>实际建成</w:t>
            </w:r>
            <w:r>
              <w:rPr>
                <w:rFonts w:hint="eastAsia" w:ascii="Times New Roman" w:hAnsi="Times New Roman" w:eastAsia="宋体" w:cs="宋体"/>
                <w:color w:val="auto"/>
                <w:szCs w:val="21"/>
                <w:lang w:val="en-US" w:eastAsia="zh-CN"/>
              </w:rPr>
              <w:t>1条生产线，用水量比环评设计的用水量少。其他</w:t>
            </w:r>
            <w:r>
              <w:rPr>
                <w:rFonts w:hint="eastAsia" w:ascii="Times New Roman" w:hAnsi="Times New Roman" w:eastAsia="宋体" w:cs="宋体"/>
                <w:color w:val="auto"/>
                <w:sz w:val="21"/>
                <w:szCs w:val="21"/>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restart"/>
            <w:tcBorders>
              <w:tl2br w:val="nil"/>
              <w:tr2bl w:val="nil"/>
            </w:tcBorders>
            <w:noWrap w:val="0"/>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eastAsia="zh-CN"/>
              </w:rPr>
              <w:t>环保工程</w:t>
            </w:r>
          </w:p>
        </w:tc>
        <w:tc>
          <w:tcPr>
            <w:tcW w:w="26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废气</w:t>
            </w:r>
          </w:p>
        </w:tc>
        <w:tc>
          <w:tcPr>
            <w:tcW w:w="287" w:type="pct"/>
            <w:tcBorders>
              <w:tl2br w:val="nil"/>
              <w:tr2bl w:val="nil"/>
            </w:tcBorders>
            <w:noWrap w:val="0"/>
            <w:vAlign w:val="center"/>
          </w:tcPr>
          <w:p>
            <w:pPr>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熔融挤出工序</w:t>
            </w:r>
          </w:p>
        </w:tc>
        <w:tc>
          <w:tcPr>
            <w:tcW w:w="1964"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18</w:t>
            </w:r>
            <w:r>
              <w:rPr>
                <w:rFonts w:hint="default" w:ascii="Times New Roman" w:hAnsi="Times New Roman" w:eastAsia="宋体" w:cs="Times New Roman"/>
                <w:kern w:val="0"/>
                <w:szCs w:val="21"/>
                <w:lang w:eastAsia="zh-CN"/>
              </w:rPr>
              <w:t>个</w:t>
            </w:r>
            <w:r>
              <w:rPr>
                <w:rFonts w:hint="default" w:ascii="Times New Roman" w:hAnsi="Times New Roman" w:eastAsia="宋体" w:cs="Times New Roman"/>
                <w:kern w:val="0"/>
                <w:szCs w:val="21"/>
              </w:rPr>
              <w:t>集气罩（收集效率90%）+3套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+3套</w:t>
            </w:r>
            <w:r>
              <w:rPr>
                <w:rFonts w:hint="default" w:ascii="Times New Roman" w:hAnsi="Times New Roman" w:eastAsia="宋体" w:cs="Times New Roman"/>
                <w:kern w:val="0"/>
                <w:szCs w:val="21"/>
              </w:rPr>
              <w:t>“UV光解+</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r>
              <w:rPr>
                <w:rFonts w:hint="eastAsia" w:ascii="Times New Roman" w:hAnsi="Times New Roman" w:eastAsia="宋体" w:cs="Times New Roman"/>
                <w:kern w:val="0"/>
                <w:szCs w:val="21"/>
                <w:lang w:eastAsia="zh-CN"/>
              </w:rPr>
              <w:t>，</w:t>
            </w:r>
            <w:r>
              <w:rPr>
                <w:rFonts w:hint="default" w:ascii="Times New Roman" w:hAnsi="Times New Roman" w:eastAsia="宋体" w:cs="Times New Roman"/>
                <w:kern w:val="0"/>
                <w:szCs w:val="21"/>
              </w:rPr>
              <w:t>每台风机风量</w:t>
            </w:r>
            <w:r>
              <w:rPr>
                <w:rFonts w:hint="eastAsia" w:ascii="Times New Roman" w:hAnsi="Times New Roman" w:eastAsia="宋体" w:cs="Times New Roman"/>
                <w:kern w:val="0"/>
                <w:szCs w:val="21"/>
                <w:lang w:val="en-US" w:eastAsia="zh-CN"/>
              </w:rPr>
              <w:t>3</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default"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台风机风量合计</w:t>
            </w:r>
            <w:r>
              <w:rPr>
                <w:rFonts w:hint="eastAsia" w:ascii="Times New Roman" w:hAnsi="Times New Roman" w:eastAsia="宋体" w:cs="Times New Roman"/>
                <w:kern w:val="0"/>
                <w:szCs w:val="21"/>
                <w:lang w:val="en-US" w:eastAsia="zh-CN"/>
              </w:rPr>
              <w:t>18</w:t>
            </w:r>
            <w:r>
              <w:rPr>
                <w:rFonts w:hint="default" w:ascii="Times New Roman" w:hAnsi="Times New Roman" w:eastAsia="宋体" w:cs="Times New Roman"/>
                <w:kern w:val="0"/>
                <w:szCs w:val="21"/>
              </w:rPr>
              <w:t>000m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autoSpaceDE w:val="0"/>
              <w:autoSpaceDN w:val="0"/>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w:t>
            </w:r>
            <w:r>
              <w:rPr>
                <w:rFonts w:hint="default" w:ascii="Times New Roman" w:hAnsi="Times New Roman" w:eastAsia="宋体" w:cs="Times New Roman"/>
                <w:kern w:val="0"/>
                <w:szCs w:val="21"/>
                <w:lang w:eastAsia="zh-CN"/>
              </w:rPr>
              <w:t>个</w:t>
            </w:r>
            <w:r>
              <w:rPr>
                <w:rFonts w:hint="default" w:ascii="Times New Roman" w:hAnsi="Times New Roman" w:eastAsia="宋体" w:cs="Times New Roman"/>
                <w:kern w:val="0"/>
                <w:szCs w:val="21"/>
              </w:rPr>
              <w:t>集气罩（收集效率90%）+</w:t>
            </w:r>
            <w:r>
              <w:rPr>
                <w:rFonts w:hint="eastAsia" w:ascii="Times New Roman" w:hAnsi="Times New Roman" w:eastAsia="宋体" w:cs="Times New Roman"/>
                <w:kern w:val="0"/>
                <w:szCs w:val="21"/>
                <w:lang w:val="en-US" w:eastAsia="zh-CN"/>
              </w:rPr>
              <w:t>1</w:t>
            </w:r>
            <w:r>
              <w:rPr>
                <w:rFonts w:hint="default" w:ascii="Times New Roman" w:hAnsi="Times New Roman" w:eastAsia="宋体" w:cs="Times New Roman"/>
                <w:kern w:val="0"/>
                <w:szCs w:val="21"/>
              </w:rPr>
              <w:t>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+1套</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高压静电</w:t>
            </w:r>
            <w:r>
              <w:rPr>
                <w:rFonts w:hint="default" w:ascii="Times New Roman" w:hAnsi="Times New Roman" w:eastAsia="宋体" w:cs="Times New Roman"/>
                <w:kern w:val="0"/>
                <w:szCs w:val="21"/>
              </w:rPr>
              <w:t>+</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r>
              <w:rPr>
                <w:rFonts w:hint="eastAsia" w:ascii="Times New Roman" w:hAnsi="Times New Roman" w:eastAsia="宋体" w:cs="Times New Roman"/>
                <w:kern w:val="0"/>
                <w:szCs w:val="21"/>
                <w:lang w:eastAsia="zh-CN"/>
              </w:rPr>
              <w:t>，</w:t>
            </w:r>
            <w:r>
              <w:rPr>
                <w:rFonts w:hint="eastAsia" w:ascii="Times New Roman" w:hAnsi="Times New Roman" w:eastAsia="宋体" w:cs="Times New Roman"/>
                <w:kern w:val="0"/>
                <w:szCs w:val="21"/>
                <w:lang w:val="en-US" w:eastAsia="zh-CN"/>
              </w:rPr>
              <w:t>1</w:t>
            </w:r>
            <w:r>
              <w:rPr>
                <w:rFonts w:hint="default" w:ascii="Times New Roman" w:hAnsi="Times New Roman" w:eastAsia="宋体" w:cs="Times New Roman"/>
                <w:kern w:val="0"/>
                <w:szCs w:val="21"/>
              </w:rPr>
              <w:t>台风机风量合计</w:t>
            </w:r>
            <w:r>
              <w:rPr>
                <w:rFonts w:hint="eastAsia" w:ascii="Times New Roman" w:hAnsi="Times New Roman" w:eastAsia="宋体" w:cs="Times New Roman"/>
                <w:kern w:val="0"/>
                <w:szCs w:val="21"/>
                <w:lang w:val="en-US" w:eastAsia="zh-CN"/>
              </w:rPr>
              <w:t>10000</w:t>
            </w:r>
            <w:r>
              <w:rPr>
                <w:rFonts w:hint="default" w:ascii="Times New Roman" w:hAnsi="Times New Roman" w:eastAsia="宋体" w:cs="Times New Roman"/>
                <w:kern w:val="0"/>
                <w:szCs w:val="21"/>
              </w:rPr>
              <w:t>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/h</w:t>
            </w:r>
            <w:r>
              <w:rPr>
                <w:rFonts w:hint="eastAsia" w:ascii="Times New Roman" w:hAnsi="Times New Roman" w:eastAsia="宋体" w:cs="Times New Roman"/>
                <w:kern w:val="0"/>
                <w:szCs w:val="21"/>
                <w:lang w:eastAsia="zh-CN"/>
              </w:rPr>
              <w:t>。</w:t>
            </w:r>
          </w:p>
        </w:tc>
        <w:tc>
          <w:tcPr>
            <w:tcW w:w="508" w:type="pct"/>
            <w:tcBorders>
              <w:tl2br w:val="nil"/>
              <w:tr2bl w:val="nil"/>
            </w:tcBorders>
            <w:noWrap w:val="0"/>
            <w:vAlign w:val="center"/>
          </w:tcPr>
          <w:p>
            <w:pPr>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废气处理装置，且UV光解优化为高压静电。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restar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废水</w:t>
            </w:r>
          </w:p>
        </w:tc>
        <w:tc>
          <w:tcPr>
            <w:tcW w:w="28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雨水</w:t>
            </w:r>
          </w:p>
        </w:tc>
        <w:tc>
          <w:tcPr>
            <w:tcW w:w="1964"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szCs w:val="21"/>
                <w:lang w:eastAsia="zh-CN"/>
              </w:rPr>
            </w:pPr>
            <w:r>
              <w:rPr>
                <w:rFonts w:hint="default" w:ascii="Times New Roman" w:hAnsi="Times New Roman" w:eastAsia="宋体" w:cs="Times New Roman"/>
                <w:szCs w:val="21"/>
              </w:rPr>
              <w:t>雨污分流</w:t>
            </w:r>
            <w:r>
              <w:rPr>
                <w:rFonts w:hint="eastAsia" w:ascii="Times New Roman" w:hAnsi="Times New Roman" w:eastAsia="宋体" w:cs="Times New Roman"/>
                <w:szCs w:val="21"/>
                <w:lang w:eastAsia="zh-CN"/>
              </w:rPr>
              <w:t>，</w:t>
            </w:r>
            <w:r>
              <w:rPr>
                <w:rFonts w:hint="eastAsia" w:ascii="Times New Roman" w:hAnsi="Times New Roman" w:eastAsia="宋体" w:cs="Times New Roman"/>
                <w:color w:val="000000" w:themeColor="text1"/>
                <w:szCs w:val="21"/>
                <w:highlight w:val="none"/>
                <w:lang w:eastAsia="zh-CN"/>
                <w14:textFill>
                  <w14:solidFill>
                    <w14:schemeClr w14:val="tx1"/>
                  </w14:solidFill>
                </w14:textFill>
              </w:rPr>
              <w:t>依托</w:t>
            </w:r>
            <w:r>
              <w:rPr>
                <w:rFonts w:hint="default" w:ascii="Times New Roman" w:hAnsi="Times New Roman" w:eastAsia="宋体" w:cs="Times New Roman"/>
                <w:color w:val="000000" w:themeColor="text1"/>
                <w:kern w:val="0"/>
                <w:szCs w:val="21"/>
                <w:highlight w:val="none"/>
                <w14:textFill>
                  <w14:solidFill>
                    <w14:schemeClr w14:val="tx1"/>
                  </w14:solidFill>
                </w14:textFill>
              </w:rPr>
              <w:t>依托安玻节能厂区现有</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雨水管网。</w:t>
            </w:r>
          </w:p>
        </w:tc>
        <w:tc>
          <w:tcPr>
            <w:tcW w:w="1717" w:type="pct"/>
            <w:tcBorders>
              <w:tl2br w:val="nil"/>
              <w:tr2bl w:val="nil"/>
            </w:tcBorders>
            <w:noWrap w:val="0"/>
            <w:vAlign w:val="center"/>
          </w:tcPr>
          <w:p>
            <w:pPr>
              <w:autoSpaceDE w:val="0"/>
              <w:autoSpaceDN w:val="0"/>
              <w:adjustRightInd w:val="0"/>
              <w:snapToGrid w:val="0"/>
              <w:spacing w:line="240" w:lineRule="auto"/>
              <w:jc w:val="center"/>
              <w:rPr>
                <w:rFonts w:hint="eastAsia" w:ascii="Times New Roman" w:hAnsi="Times New Roman" w:eastAsia="宋体" w:cs="Times New Roman"/>
                <w:color w:val="0000FF"/>
                <w:kern w:val="0"/>
                <w:szCs w:val="21"/>
                <w:lang w:val="en-US" w:eastAsia="zh-CN"/>
              </w:rPr>
            </w:pPr>
            <w:r>
              <w:rPr>
                <w:rFonts w:hint="default" w:ascii="Times New Roman" w:hAnsi="Times New Roman" w:eastAsia="宋体" w:cs="Times New Roman"/>
                <w:szCs w:val="21"/>
              </w:rPr>
              <w:t>雨污分流</w:t>
            </w:r>
            <w:r>
              <w:rPr>
                <w:rFonts w:hint="eastAsia" w:ascii="Times New Roman" w:hAnsi="Times New Roman" w:eastAsia="宋体" w:cs="Times New Roman"/>
                <w:szCs w:val="21"/>
                <w:lang w:eastAsia="zh-CN"/>
              </w:rPr>
              <w:t>，</w:t>
            </w:r>
            <w:r>
              <w:rPr>
                <w:rFonts w:hint="eastAsia" w:ascii="Times New Roman" w:hAnsi="Times New Roman" w:eastAsia="宋体" w:cs="Times New Roman"/>
                <w:color w:val="000000" w:themeColor="text1"/>
                <w:szCs w:val="21"/>
                <w:highlight w:val="none"/>
                <w:lang w:eastAsia="zh-CN"/>
                <w14:textFill>
                  <w14:solidFill>
                    <w14:schemeClr w14:val="tx1"/>
                  </w14:solidFill>
                </w14:textFill>
              </w:rPr>
              <w:t>依托</w:t>
            </w:r>
            <w:r>
              <w:rPr>
                <w:rFonts w:hint="default" w:ascii="Times New Roman" w:hAnsi="Times New Roman" w:eastAsia="宋体" w:cs="Times New Roman"/>
                <w:color w:val="000000" w:themeColor="text1"/>
                <w:kern w:val="0"/>
                <w:szCs w:val="21"/>
                <w:highlight w:val="none"/>
                <w14:textFill>
                  <w14:solidFill>
                    <w14:schemeClr w14:val="tx1"/>
                  </w14:solidFill>
                </w14:textFill>
              </w:rPr>
              <w:t>依托安玻节能厂区现有</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雨水管网。</w:t>
            </w:r>
          </w:p>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p>
        </w:tc>
        <w:tc>
          <w:tcPr>
            <w:tcW w:w="508"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continue"/>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7" w:type="pct"/>
            <w:tcBorders>
              <w:tl2br w:val="nil"/>
              <w:tr2bl w:val="nil"/>
            </w:tcBorders>
            <w:noWrap w:val="0"/>
            <w:vAlign w:val="center"/>
          </w:tcPr>
          <w:p>
            <w:pPr>
              <w:adjustRightInd w:val="0"/>
              <w:snapToGri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Cs w:val="21"/>
              </w:rPr>
              <w:t>污水</w:t>
            </w:r>
          </w:p>
        </w:tc>
        <w:tc>
          <w:tcPr>
            <w:tcW w:w="1964"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1套一体化污水处理设备，位于厂区北侧，处理能力不少于2.0m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c>
          <w:tcPr>
            <w:tcW w:w="1717" w:type="pc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1套一体化污水处理设备，位于厂区侧，处理能力</w:t>
            </w:r>
            <w:r>
              <w:rPr>
                <w:rFonts w:hint="eastAsia" w:ascii="Times New Roman" w:hAnsi="Times New Roman" w:eastAsia="宋体" w:cs="Times New Roman"/>
                <w:szCs w:val="21"/>
                <w:lang w:val="en-US" w:eastAsia="zh-CN"/>
              </w:rPr>
              <w:t>为</w:t>
            </w:r>
            <w:r>
              <w:rPr>
                <w:rFonts w:hint="default" w:ascii="Times New Roman" w:hAnsi="Times New Roman" w:eastAsia="宋体" w:cs="Times New Roman"/>
                <w:szCs w:val="21"/>
              </w:rPr>
              <w:t>2.0m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c>
          <w:tcPr>
            <w:tcW w:w="508"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噪声</w:t>
            </w:r>
          </w:p>
        </w:tc>
        <w:tc>
          <w:tcPr>
            <w:tcW w:w="2252" w:type="pct"/>
            <w:gridSpan w:val="2"/>
            <w:tcBorders>
              <w:tl2br w:val="nil"/>
              <w:tr2bl w:val="nil"/>
            </w:tcBorders>
            <w:noWrap w:val="0"/>
            <w:vAlign w:val="center"/>
          </w:tcPr>
          <w:p>
            <w:pPr>
              <w:autoSpaceDE w:val="0"/>
              <w:autoSpaceDN w:val="0"/>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合理车间布局，选用低噪声设备、设置减振垫、厂房隔声</w:t>
            </w:r>
            <w:r>
              <w:rPr>
                <w:rFonts w:hint="eastAsia" w:ascii="Times New Roman" w:hAnsi="Times New Roman" w:eastAsia="宋体" w:cs="Times New Roman"/>
                <w:kern w:val="0"/>
                <w:szCs w:val="21"/>
                <w:lang w:eastAsia="zh-CN"/>
              </w:rPr>
              <w:t>。</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zh-CN" w:eastAsia="zh-CN" w:bidi="ar-SA"/>
              </w:rPr>
            </w:pPr>
            <w:r>
              <w:rPr>
                <w:rFonts w:hint="default" w:ascii="Times New Roman" w:hAnsi="Times New Roman" w:eastAsia="宋体" w:cs="Times New Roman"/>
                <w:kern w:val="0"/>
                <w:szCs w:val="21"/>
              </w:rPr>
              <w:t>合理车间布局，选用低噪声设备、设置减振垫、厂房隔声</w:t>
            </w:r>
            <w:r>
              <w:rPr>
                <w:rFonts w:hint="eastAsia" w:ascii="Times New Roman" w:hAnsi="Times New Roman" w:eastAsia="宋体" w:cs="Times New Roman"/>
                <w:kern w:val="0"/>
                <w:szCs w:val="21"/>
                <w:lang w:eastAsia="zh-CN"/>
              </w:rPr>
              <w:t>。</w:t>
            </w:r>
          </w:p>
        </w:tc>
        <w:tc>
          <w:tcPr>
            <w:tcW w:w="508" w:type="pct"/>
            <w:tcBorders>
              <w:tl2br w:val="nil"/>
              <w:tr2bl w:val="nil"/>
            </w:tcBorders>
            <w:noWrap w:val="0"/>
            <w:vAlign w:val="center"/>
          </w:tcPr>
          <w:p>
            <w:pPr>
              <w:jc w:val="center"/>
              <w:rPr>
                <w:rFonts w:hint="eastAsia" w:ascii="Times New Roman" w:hAnsi="Times New Roman" w:eastAsia="宋体"/>
                <w:color w:val="auto"/>
                <w:lang w:val="zh-CN"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固废治理</w:t>
            </w:r>
          </w:p>
        </w:tc>
        <w:tc>
          <w:tcPr>
            <w:tcW w:w="287" w:type="pct"/>
            <w:tcBorders>
              <w:tl2br w:val="nil"/>
              <w:tr2bl w:val="nil"/>
            </w:tcBorders>
            <w:noWrap w:val="0"/>
            <w:vAlign w:val="center"/>
          </w:tcPr>
          <w:p>
            <w:pPr>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生活垃圾</w:t>
            </w:r>
          </w:p>
        </w:tc>
        <w:tc>
          <w:tcPr>
            <w:tcW w:w="1964"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kern w:val="0"/>
                <w:szCs w:val="21"/>
              </w:rPr>
              <w:t>生活垃圾集中收集</w:t>
            </w:r>
            <w:r>
              <w:rPr>
                <w:rFonts w:hint="eastAsia" w:ascii="Times New Roman" w:hAnsi="Times New Roman" w:eastAsia="宋体" w:cs="Times New Roman"/>
                <w:kern w:val="0"/>
                <w:szCs w:val="21"/>
                <w:lang w:eastAsia="zh-CN"/>
              </w:rPr>
              <w:t>委托</w:t>
            </w:r>
            <w:r>
              <w:rPr>
                <w:rFonts w:hint="default" w:ascii="Times New Roman" w:hAnsi="Times New Roman" w:eastAsia="宋体" w:cs="Times New Roman"/>
                <w:kern w:val="0"/>
                <w:szCs w:val="21"/>
              </w:rPr>
              <w:t>环卫部门</w:t>
            </w:r>
            <w:r>
              <w:rPr>
                <w:rFonts w:hint="eastAsia" w:ascii="Times New Roman" w:hAnsi="Times New Roman" w:eastAsia="宋体" w:cs="Times New Roman"/>
                <w:kern w:val="0"/>
                <w:szCs w:val="21"/>
                <w:lang w:eastAsia="zh-CN"/>
              </w:rPr>
              <w:t>处理</w:t>
            </w:r>
            <w:r>
              <w:rPr>
                <w:rFonts w:hint="default" w:ascii="Times New Roman" w:hAnsi="Times New Roman" w:eastAsia="宋体" w:cs="Times New Roman"/>
                <w:kern w:val="0"/>
                <w:szCs w:val="21"/>
              </w:rPr>
              <w:t>处理。</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default" w:ascii="Times New Roman" w:hAnsi="Times New Roman" w:eastAsia="宋体" w:cs="Times New Roman"/>
                <w:kern w:val="0"/>
                <w:szCs w:val="21"/>
              </w:rPr>
              <w:t>生活垃圾集中收集</w:t>
            </w:r>
            <w:r>
              <w:rPr>
                <w:rFonts w:hint="eastAsia" w:ascii="Times New Roman" w:hAnsi="Times New Roman" w:eastAsia="宋体" w:cs="Times New Roman"/>
                <w:kern w:val="0"/>
                <w:szCs w:val="21"/>
                <w:lang w:eastAsia="zh-CN"/>
              </w:rPr>
              <w:t>委托</w:t>
            </w:r>
            <w:r>
              <w:rPr>
                <w:rFonts w:hint="default" w:ascii="Times New Roman" w:hAnsi="Times New Roman" w:eastAsia="宋体" w:cs="Times New Roman"/>
                <w:kern w:val="0"/>
                <w:szCs w:val="21"/>
              </w:rPr>
              <w:t>环卫部门</w:t>
            </w:r>
            <w:r>
              <w:rPr>
                <w:rFonts w:hint="eastAsia" w:ascii="Times New Roman" w:hAnsi="Times New Roman" w:eastAsia="宋体" w:cs="Times New Roman"/>
                <w:kern w:val="0"/>
                <w:szCs w:val="21"/>
                <w:lang w:eastAsia="zh-CN"/>
              </w:rPr>
              <w:t>处理</w:t>
            </w:r>
            <w:r>
              <w:rPr>
                <w:rFonts w:hint="default" w:ascii="Times New Roman" w:hAnsi="Times New Roman" w:eastAsia="宋体" w:cs="Times New Roman"/>
                <w:kern w:val="0"/>
                <w:szCs w:val="21"/>
              </w:rPr>
              <w:t>处理。</w:t>
            </w:r>
          </w:p>
        </w:tc>
        <w:tc>
          <w:tcPr>
            <w:tcW w:w="508" w:type="pct"/>
            <w:tcBorders>
              <w:tl2br w:val="nil"/>
              <w:tr2bl w:val="nil"/>
            </w:tcBorders>
            <w:noWrap w:val="0"/>
            <w:vAlign w:val="center"/>
          </w:tcPr>
          <w:p>
            <w:pPr>
              <w:jc w:val="center"/>
              <w:rPr>
                <w:rFonts w:hint="eastAsia" w:ascii="Times New Roman" w:hAnsi="Times New Roman" w:eastAsia="宋体"/>
                <w:color w:val="auto"/>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7"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szCs w:val="21"/>
              </w:rPr>
              <w:t>危废暂存库</w:t>
            </w:r>
          </w:p>
        </w:tc>
        <w:tc>
          <w:tcPr>
            <w:tcW w:w="1964" w:type="pct"/>
            <w:tcBorders>
              <w:tl2br w:val="nil"/>
              <w:tr2bl w:val="nil"/>
            </w:tcBorders>
            <w:noWrap w:val="0"/>
            <w:vAlign w:val="center"/>
          </w:tcPr>
          <w:p>
            <w:pPr>
              <w:jc w:val="center"/>
              <w:rPr>
                <w:rFonts w:hint="eastAsia" w:ascii="Times New Roman" w:hAnsi="Times New Roman" w:eastAsia="宋体"/>
                <w:color w:val="auto"/>
              </w:rPr>
            </w:pPr>
            <w:r>
              <w:rPr>
                <w:rFonts w:hint="default" w:ascii="Times New Roman" w:hAnsi="Times New Roman" w:eastAsia="宋体" w:cs="Times New Roman"/>
                <w:szCs w:val="21"/>
              </w:rPr>
              <w:t>1间，位于生产车间东南侧，建筑面积约10m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default" w:ascii="Times New Roman" w:hAnsi="Times New Roman" w:eastAsia="宋体" w:cs="Times New Roman"/>
                <w:szCs w:val="21"/>
              </w:rPr>
              <w:t>。</w:t>
            </w:r>
            <w:r>
              <w:rPr>
                <w:rFonts w:hint="eastAsia" w:ascii="Times New Roman" w:hAnsi="Times New Roman" w:eastAsia="宋体" w:cs="Times New Roman"/>
                <w:szCs w:val="21"/>
                <w:lang w:eastAsia="zh-CN"/>
              </w:rPr>
              <w:t>废过滤网（含滤渣）、废油脂、废活性炭、</w:t>
            </w:r>
            <w:r>
              <w:rPr>
                <w:rFonts w:hint="default" w:ascii="Times New Roman" w:hAnsi="Times New Roman" w:eastAsia="宋体" w:cs="Times New Roman"/>
                <w:szCs w:val="21"/>
              </w:rPr>
              <w:t>废UV灯管等危废分类存放，定期交由有资质的单位处理。</w:t>
            </w:r>
          </w:p>
        </w:tc>
        <w:tc>
          <w:tcPr>
            <w:tcW w:w="1717" w:type="pct"/>
            <w:tcBorders>
              <w:tl2br w:val="nil"/>
              <w:tr2bl w:val="nil"/>
            </w:tcBorders>
            <w:noWrap w:val="0"/>
            <w:vAlign w:val="center"/>
          </w:tcPr>
          <w:p>
            <w:pPr>
              <w:jc w:val="center"/>
              <w:rPr>
                <w:rFonts w:hint="default" w:ascii="Times New Roman" w:hAnsi="Times New Roman" w:eastAsia="宋体"/>
                <w:color w:val="auto"/>
                <w:lang w:val="en-US" w:eastAsia="zh-CN"/>
              </w:rPr>
            </w:pPr>
            <w:r>
              <w:rPr>
                <w:rFonts w:hint="default" w:ascii="Times New Roman" w:hAnsi="Times New Roman" w:eastAsia="宋体" w:cs="Times New Roman"/>
                <w:szCs w:val="21"/>
              </w:rPr>
              <w:t>1间，位于生产车间</w:t>
            </w:r>
            <w:r>
              <w:rPr>
                <w:rFonts w:hint="eastAsia" w:ascii="Times New Roman" w:hAnsi="Times New Roman" w:eastAsia="宋体" w:cs="Times New Roman"/>
                <w:szCs w:val="21"/>
                <w:lang w:val="en-US" w:eastAsia="zh-CN"/>
              </w:rPr>
              <w:t>北</w:t>
            </w:r>
            <w:r>
              <w:rPr>
                <w:rFonts w:hint="default" w:ascii="Times New Roman" w:hAnsi="Times New Roman" w:eastAsia="宋体" w:cs="Times New Roman"/>
                <w:szCs w:val="21"/>
              </w:rPr>
              <w:t>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default" w:ascii="Times New Roman" w:hAnsi="Times New Roman" w:eastAsia="宋体" w:cs="Times New Roman"/>
                <w:szCs w:val="21"/>
              </w:rPr>
              <w:t>。</w:t>
            </w:r>
            <w:r>
              <w:rPr>
                <w:rFonts w:hint="eastAsia" w:ascii="Times New Roman" w:hAnsi="Times New Roman" w:eastAsia="宋体" w:cs="Times New Roman"/>
                <w:szCs w:val="21"/>
                <w:lang w:eastAsia="zh-CN"/>
              </w:rPr>
              <w:t>废过滤网（含滤渣）、废油脂、废活性炭</w:t>
            </w:r>
            <w:r>
              <w:rPr>
                <w:rFonts w:hint="default" w:ascii="Times New Roman" w:hAnsi="Times New Roman" w:eastAsia="宋体" w:cs="Times New Roman"/>
                <w:szCs w:val="21"/>
              </w:rPr>
              <w:t>等危废分类存放，定期交由</w:t>
            </w:r>
            <w:r>
              <w:rPr>
                <w:rFonts w:hint="eastAsia" w:ascii="Times New Roman" w:hAnsi="Times New Roman" w:eastAsia="宋体" w:cs="Times New Roman"/>
                <w:szCs w:val="21"/>
                <w:lang w:val="en-US" w:eastAsia="zh-CN"/>
              </w:rPr>
              <w:t>安徽浩悦环境科技有限公司处理</w:t>
            </w:r>
          </w:p>
        </w:tc>
        <w:tc>
          <w:tcPr>
            <w:tcW w:w="508" w:type="pct"/>
            <w:tcBorders>
              <w:tl2br w:val="nil"/>
              <w:tr2bl w:val="nil"/>
            </w:tcBorders>
            <w:noWrap w:val="0"/>
            <w:vAlign w:val="center"/>
          </w:tcPr>
          <w:p>
            <w:pPr>
              <w:jc w:val="center"/>
              <w:rPr>
                <w:rFonts w:hint="default" w:ascii="Times New Roman" w:hAnsi="Times New Roman" w:eastAsia="宋体" w:cs="宋体"/>
                <w:color w:val="auto"/>
                <w:sz w:val="21"/>
                <w:szCs w:val="21"/>
                <w:lang w:val="en-US" w:eastAsia="zh-CN"/>
              </w:rPr>
            </w:pPr>
            <w:r>
              <w:rPr>
                <w:rFonts w:hint="eastAsia" w:ascii="Times New Roman" w:hAnsi="Times New Roman" w:eastAsia="宋体" w:cs="宋体"/>
                <w:color w:val="auto"/>
                <w:sz w:val="21"/>
                <w:szCs w:val="21"/>
                <w:lang w:val="en-US" w:eastAsia="zh-CN"/>
              </w:rPr>
              <w:t>废气处理装置由UV光解优化为高压静电，无废UV灯管产生。其他一致。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600" w:hRule="atLeast"/>
          <w:jc w:val="center"/>
        </w:trPr>
        <w:tc>
          <w:tcPr>
            <w:tcW w:w="253" w:type="pct"/>
            <w:vMerge w:val="continue"/>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环境风险</w:t>
            </w:r>
          </w:p>
        </w:tc>
        <w:tc>
          <w:tcPr>
            <w:tcW w:w="2252" w:type="pct"/>
            <w:gridSpan w:val="2"/>
            <w:tcBorders>
              <w:tl2br w:val="nil"/>
              <w:tr2bl w:val="nil"/>
            </w:tcBorders>
            <w:noWrap w:val="0"/>
            <w:vAlign w:val="center"/>
          </w:tcPr>
          <w:p>
            <w:pPr>
              <w:jc w:val="center"/>
              <w:rPr>
                <w:rFonts w:hint="eastAsia" w:ascii="Times New Roman" w:hAnsi="Times New Roman" w:eastAsia="宋体"/>
                <w:color w:val="auto"/>
                <w:lang w:eastAsia="zh-CN"/>
              </w:rPr>
            </w:pPr>
            <w:r>
              <w:rPr>
                <w:rFonts w:hint="default" w:ascii="Times New Roman" w:hAnsi="Times New Roman" w:eastAsia="宋体" w:cs="Times New Roman"/>
                <w:color w:val="auto"/>
                <w:szCs w:val="21"/>
                <w:highlight w:val="none"/>
              </w:rPr>
              <w:t>1个2</w:t>
            </w:r>
            <w:r>
              <w:rPr>
                <w:rFonts w:hint="default" w:ascii="Times New Roman" w:hAnsi="Times New Roman" w:eastAsia="宋体" w:cs="Times New Roman"/>
                <w:color w:val="auto"/>
                <w:szCs w:val="21"/>
                <w:highlight w:val="none"/>
                <w:lang w:val="en-US" w:eastAsia="zh-CN"/>
              </w:rPr>
              <w:t>6</w:t>
            </w:r>
            <w:r>
              <w:rPr>
                <w:rFonts w:hint="default" w:ascii="Times New Roman" w:hAnsi="Times New Roman" w:eastAsia="宋体" w:cs="Times New Roman"/>
                <w:color w:val="auto"/>
                <w:szCs w:val="21"/>
                <w:highlight w:val="none"/>
              </w:rPr>
              <w:t>0m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的事故应急池，</w:t>
            </w:r>
            <w:r>
              <w:rPr>
                <w:rFonts w:hint="default" w:ascii="Times New Roman" w:hAnsi="Times New Roman" w:eastAsia="宋体" w:cs="Times New Roman"/>
                <w:szCs w:val="21"/>
                <w:highlight w:val="none"/>
              </w:rPr>
              <w:t>设置位置为生产车间</w:t>
            </w:r>
            <w:r>
              <w:rPr>
                <w:rFonts w:hint="eastAsia" w:ascii="Times New Roman" w:hAnsi="Times New Roman" w:eastAsia="宋体" w:cs="Times New Roman"/>
                <w:szCs w:val="21"/>
                <w:highlight w:val="none"/>
                <w:lang w:eastAsia="zh-CN"/>
              </w:rPr>
              <w:t>内东北</w:t>
            </w:r>
            <w:r>
              <w:rPr>
                <w:rFonts w:hint="default" w:ascii="Times New Roman" w:hAnsi="Times New Roman" w:eastAsia="宋体" w:cs="Times New Roman"/>
                <w:szCs w:val="21"/>
                <w:highlight w:val="none"/>
              </w:rPr>
              <w:t>侧</w:t>
            </w:r>
          </w:p>
        </w:tc>
        <w:tc>
          <w:tcPr>
            <w:tcW w:w="1717" w:type="pct"/>
            <w:tcBorders>
              <w:tl2br w:val="nil"/>
              <w:tr2bl w:val="nil"/>
            </w:tcBorders>
            <w:noWrap w:val="0"/>
            <w:vAlign w:val="center"/>
          </w:tcPr>
          <w:p>
            <w:pPr>
              <w:jc w:val="center"/>
              <w:rPr>
                <w:rFonts w:hint="eastAsia" w:ascii="Times New Roman" w:hAnsi="Times New Roman" w:eastAsia="宋体" w:cstheme="minorBidi"/>
                <w:color w:val="auto"/>
                <w:kern w:val="2"/>
                <w:sz w:val="21"/>
                <w:szCs w:val="22"/>
                <w:lang w:val="en-US" w:eastAsia="zh-CN" w:bidi="ar-SA"/>
              </w:rPr>
            </w:pPr>
            <w:r>
              <w:rPr>
                <w:rFonts w:hint="eastAsia" w:ascii="Times New Roman" w:hAnsi="Times New Roman" w:eastAsia="宋体" w:cs="Times New Roman"/>
                <w:szCs w:val="21"/>
                <w:lang w:val="en-US" w:eastAsia="zh-CN"/>
              </w:rPr>
              <w:t>事</w:t>
            </w:r>
            <w:r>
              <w:rPr>
                <w:rFonts w:hint="default" w:ascii="Times New Roman" w:hAnsi="Times New Roman" w:eastAsia="宋体" w:cs="Times New Roman"/>
                <w:szCs w:val="21"/>
              </w:rPr>
              <w:t>故应急池，设置位置为生产车间</w:t>
            </w:r>
            <w:r>
              <w:rPr>
                <w:rFonts w:hint="eastAsia" w:ascii="Times New Roman" w:hAnsi="Times New Roman" w:eastAsia="宋体" w:cs="Times New Roman"/>
                <w:szCs w:val="21"/>
                <w:lang w:eastAsia="zh-CN"/>
              </w:rPr>
              <w:t>内东</w:t>
            </w:r>
            <w:r>
              <w:rPr>
                <w:rFonts w:hint="default" w:ascii="Times New Roman" w:hAnsi="Times New Roman" w:eastAsia="宋体" w:cs="Times New Roman"/>
                <w:szCs w:val="21"/>
              </w:rPr>
              <w:t>侧</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实际120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eastAsia" w:ascii="Times New Roman" w:hAnsi="Times New Roman" w:eastAsia="宋体" w:cs="Times New Roman"/>
                <w:szCs w:val="21"/>
                <w:vertAlign w:val="superscript"/>
                <w:lang w:eastAsia="zh-CN"/>
              </w:rPr>
              <w:t>。</w:t>
            </w:r>
          </w:p>
        </w:tc>
        <w:tc>
          <w:tcPr>
            <w:tcW w:w="508"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Times New Roman"/>
                <w:szCs w:val="21"/>
                <w:lang w:val="en-US" w:eastAsia="zh-CN"/>
              </w:rPr>
              <w:t>实际建成1条生产线 事故应急池满足现有生产线的生产</w:t>
            </w:r>
            <w:r>
              <w:rPr>
                <w:rFonts w:hint="eastAsia" w:ascii="Times New Roman" w:hAnsi="Times New Roman" w:eastAsia="宋体" w:cs="Times New Roman"/>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restart"/>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r>
              <w:rPr>
                <w:rFonts w:hint="eastAsia" w:ascii="Times New Roman" w:hAnsi="Times New Roman" w:eastAsia="宋体"/>
                <w:color w:val="auto"/>
                <w:lang w:eastAsia="zh-CN"/>
              </w:rPr>
              <w:t>分区防渗</w:t>
            </w:r>
          </w:p>
        </w:tc>
        <w:tc>
          <w:tcPr>
            <w:tcW w:w="287"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重点防渗区</w:t>
            </w:r>
          </w:p>
        </w:tc>
        <w:tc>
          <w:tcPr>
            <w:tcW w:w="196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危废分类收集存放。</w:t>
            </w:r>
          </w:p>
        </w:tc>
        <w:tc>
          <w:tcPr>
            <w:tcW w:w="1717" w:type="pct"/>
            <w:tcBorders>
              <w:tl2br w:val="nil"/>
              <w:tr2bl w:val="nil"/>
            </w:tcBorders>
            <w:noWrap w:val="0"/>
            <w:vAlign w:val="center"/>
          </w:tcPr>
          <w:p>
            <w:pPr>
              <w:adjustRightInd w:val="0"/>
              <w:spacing w:line="240" w:lineRule="auto"/>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危废分类收集存放。</w:t>
            </w:r>
          </w:p>
        </w:tc>
        <w:tc>
          <w:tcPr>
            <w:tcW w:w="508"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53" w:type="pct"/>
            <w:tcBorders>
              <w:tl2br w:val="nil"/>
              <w:tr2bl w:val="nil"/>
            </w:tcBorders>
            <w:noWrap w:val="0"/>
            <w:vAlign w:val="center"/>
          </w:tcPr>
          <w:p>
            <w:pPr>
              <w:jc w:val="center"/>
              <w:rPr>
                <w:rFonts w:hint="eastAsia" w:ascii="Times New Roman" w:hAnsi="Times New Roman" w:eastAsia="宋体" w:cs="宋体"/>
                <w:color w:val="auto"/>
                <w:szCs w:val="21"/>
                <w:lang w:eastAsia="zh-CN"/>
              </w:rPr>
            </w:pPr>
          </w:p>
        </w:tc>
        <w:tc>
          <w:tcPr>
            <w:tcW w:w="267" w:type="pct"/>
            <w:vMerge w:val="continue"/>
            <w:tcBorders>
              <w:tl2br w:val="nil"/>
              <w:tr2bl w:val="nil"/>
            </w:tcBorders>
            <w:noWrap w:val="0"/>
            <w:vAlign w:val="center"/>
          </w:tcPr>
          <w:p>
            <w:pPr>
              <w:pStyle w:val="148"/>
              <w:spacing w:line="240" w:lineRule="auto"/>
              <w:jc w:val="center"/>
              <w:rPr>
                <w:rFonts w:hint="eastAsia" w:ascii="Times New Roman" w:hAnsi="Times New Roman" w:eastAsia="宋体"/>
                <w:color w:val="auto"/>
                <w:lang w:eastAsia="zh-CN"/>
              </w:rPr>
            </w:pPr>
          </w:p>
        </w:tc>
        <w:tc>
          <w:tcPr>
            <w:tcW w:w="287" w:type="pct"/>
            <w:tcBorders>
              <w:tl2br w:val="nil"/>
              <w:tr2bl w:val="nil"/>
            </w:tcBorders>
            <w:noWrap w:val="0"/>
            <w:vAlign w:val="center"/>
          </w:tcPr>
          <w:p>
            <w:pP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一般防渗区</w:t>
            </w:r>
          </w:p>
        </w:tc>
        <w:tc>
          <w:tcPr>
            <w:tcW w:w="196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1717" w:type="pct"/>
            <w:tcBorders>
              <w:tl2br w:val="nil"/>
              <w:tr2bl w:val="nil"/>
            </w:tcBorders>
            <w:noWrap w:val="0"/>
            <w:vAlign w:val="center"/>
          </w:tcPr>
          <w:p>
            <w:pPr>
              <w:adjustRightInd w:val="0"/>
              <w:spacing w:line="240" w:lineRule="auto"/>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08" w:type="pct"/>
            <w:tcBorders>
              <w:tl2br w:val="nil"/>
              <w:tr2bl w:val="nil"/>
            </w:tcBorders>
            <w:noWrap w:val="0"/>
            <w:vAlign w:val="center"/>
          </w:tcPr>
          <w:p>
            <w:pPr>
              <w:jc w:val="center"/>
              <w:rPr>
                <w:rFonts w:hint="eastAsia" w:ascii="Times New Roman" w:hAnsi="Times New Roman" w:eastAsia="宋体" w:cs="宋体"/>
                <w:color w:val="auto"/>
                <w:sz w:val="21"/>
                <w:szCs w:val="21"/>
                <w:lang w:eastAsia="zh-CN"/>
              </w:rPr>
            </w:pPr>
            <w:r>
              <w:rPr>
                <w:rFonts w:hint="eastAsia" w:ascii="Times New Roman" w:hAnsi="Times New Roman" w:eastAsia="宋体" w:cs="宋体"/>
                <w:color w:val="auto"/>
                <w:sz w:val="21"/>
                <w:szCs w:val="21"/>
                <w:lang w:eastAsia="zh-CN"/>
              </w:rPr>
              <w:t>一致</w:t>
            </w:r>
          </w:p>
        </w:tc>
      </w:tr>
    </w:tbl>
    <w:p>
      <w:pPr>
        <w:keepNext w:val="0"/>
        <w:keepLines w:val="0"/>
        <w:widowControl/>
        <w:numPr>
          <w:ilvl w:val="0"/>
          <w:numId w:val="0"/>
        </w:numPr>
        <w:suppressLineNumbers w:val="0"/>
        <w:jc w:val="left"/>
        <w:rPr>
          <w:rFonts w:hint="eastAsia" w:ascii="宋体" w:hAnsi="宋体" w:eastAsia="宋体" w:cs="宋体"/>
          <w:color w:val="000000"/>
          <w:kern w:val="0"/>
          <w:sz w:val="24"/>
          <w:szCs w:val="24"/>
          <w:lang w:val="en-US" w:eastAsia="zh-CN" w:bidi="ar"/>
        </w:rPr>
      </w:pPr>
    </w:p>
    <w:p>
      <w:pPr>
        <w:keepNext w:val="0"/>
        <w:keepLines w:val="0"/>
        <w:widowControl/>
        <w:numPr>
          <w:ilvl w:val="0"/>
          <w:numId w:val="0"/>
        </w:numPr>
        <w:suppressLineNumbers w:val="0"/>
        <w:ind w:firstLine="482" w:firstLineChars="20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拟建项目主要 原材料为废弃塑料，因回收前已经由上游原材料供应商进行了分拣、清洗、破碎 等预处理。</w:t>
      </w:r>
    </w:p>
    <w:p>
      <w:pPr>
        <w:keepNext w:val="0"/>
        <w:keepLines w:val="0"/>
        <w:widowControl/>
        <w:numPr>
          <w:ilvl w:val="0"/>
          <w:numId w:val="0"/>
        </w:numPr>
        <w:suppressLineNumbers w:val="0"/>
        <w:ind w:firstLine="301" w:firstLineChars="100"/>
        <w:jc w:val="left"/>
        <w:rPr>
          <w:rFonts w:hint="eastAsia" w:ascii="宋体" w:hAnsi="宋体" w:eastAsia="宋体" w:cs="宋体"/>
          <w:b/>
          <w:color w:val="auto"/>
          <w:sz w:val="30"/>
          <w:szCs w:val="30"/>
          <w:lang w:val="en-US" w:eastAsia="zh-CN"/>
        </w:rPr>
      </w:pPr>
      <w:r>
        <w:rPr>
          <w:rFonts w:hint="eastAsia" w:ascii="Times New Roman" w:hAnsi="Times New Roman" w:eastAsia="宋体" w:cs="Times New Roman"/>
          <w:b/>
          <w:color w:val="auto"/>
          <w:sz w:val="30"/>
          <w:szCs w:val="30"/>
          <w:lang w:val="en-US" w:eastAsia="zh-CN"/>
        </w:rPr>
        <w:t xml:space="preserve">3.2-1应急池容积变化 </w:t>
      </w:r>
      <w:r>
        <w:rPr>
          <w:rFonts w:hint="eastAsia" w:ascii="宋体" w:hAnsi="宋体" w:eastAsia="宋体" w:cs="宋体"/>
          <w:b/>
          <w:color w:val="auto"/>
          <w:sz w:val="30"/>
          <w:szCs w:val="30"/>
          <w:lang w:val="en-US" w:eastAsia="zh-CN"/>
        </w:rPr>
        <w:t>:</w:t>
      </w:r>
    </w:p>
    <w:p>
      <w:pPr>
        <w:keepNext w:val="0"/>
        <w:keepLines w:val="0"/>
        <w:widowControl/>
        <w:suppressLineNumbers w:val="0"/>
        <w:ind w:firstLine="720" w:firstLineChars="300"/>
        <w:jc w:val="left"/>
        <w:rPr>
          <w:rFonts w:hint="eastAsia" w:ascii="宋体" w:hAnsi="宋体" w:eastAsia="宋体" w:cs="宋体"/>
          <w:color w:val="000000"/>
          <w:kern w:val="0"/>
          <w:sz w:val="24"/>
          <w:szCs w:val="24"/>
          <w:lang w:val="en-US" w:eastAsia="zh-CN" w:bidi="ar"/>
        </w:rPr>
      </w:pPr>
      <w:bookmarkStart w:id="157" w:name="_GoBack"/>
      <w:bookmarkEnd w:id="157"/>
      <w:r>
        <w:rPr>
          <w:rFonts w:hint="eastAsia" w:ascii="宋体" w:hAnsi="宋体" w:eastAsia="宋体" w:cs="宋体"/>
          <w:b w:val="0"/>
          <w:bCs/>
          <w:color w:val="auto"/>
          <w:sz w:val="24"/>
          <w:szCs w:val="24"/>
          <w:lang w:val="en-US" w:eastAsia="zh-CN"/>
        </w:rPr>
        <w:t>应急池的容量应根据发生事故的建设容量、事故时消防用水量及可能进入应急事故水池的降水量等因素综合确定。本次项目验收一条线，设定全场火灾数为1次，则</w:t>
      </w:r>
      <w:r>
        <w:rPr>
          <w:rFonts w:hint="eastAsia" w:ascii="宋体" w:hAnsi="宋体" w:eastAsia="宋体" w:cs="宋体"/>
          <w:color w:val="000000"/>
          <w:kern w:val="0"/>
          <w:sz w:val="24"/>
          <w:szCs w:val="24"/>
          <w:lang w:val="en-US" w:eastAsia="zh-CN" w:bidi="ar"/>
        </w:rPr>
        <w:t>发生火灾消防灭火时间为</w:t>
      </w:r>
      <w:r>
        <w:rPr>
          <w:rFonts w:hint="eastAsia" w:ascii="宋体" w:hAnsi="宋体" w:eastAsia="宋体" w:cs="宋体"/>
          <w:b w:val="0"/>
          <w:bCs/>
          <w:color w:val="auto"/>
          <w:sz w:val="24"/>
          <w:szCs w:val="24"/>
          <w:lang w:val="en-US" w:eastAsia="zh-CN"/>
        </w:rPr>
        <w:t>1小时</w:t>
      </w:r>
      <w:r>
        <w:rPr>
          <w:rFonts w:hint="eastAsia" w:ascii="宋体" w:hAnsi="宋体" w:eastAsia="宋体" w:cs="宋体"/>
          <w:color w:val="000000"/>
          <w:kern w:val="0"/>
          <w:sz w:val="24"/>
          <w:szCs w:val="24"/>
          <w:lang w:val="en-US" w:eastAsia="zh-CN" w:bidi="ar"/>
        </w:rPr>
        <w:t>计算，根据《消防给水及消火栓系统技术规范》（</w:t>
      </w:r>
      <w:r>
        <w:rPr>
          <w:rFonts w:hint="default" w:ascii="Times New Roman" w:hAnsi="Times New Roman" w:eastAsia="宋体" w:cs="Times New Roman"/>
          <w:color w:val="000000"/>
          <w:kern w:val="0"/>
          <w:sz w:val="24"/>
          <w:szCs w:val="24"/>
          <w:lang w:val="en-US" w:eastAsia="zh-CN" w:bidi="ar"/>
        </w:rPr>
        <w:t>GB50016-2014</w:t>
      </w:r>
      <w:r>
        <w:rPr>
          <w:rFonts w:hint="eastAsia" w:ascii="宋体" w:hAnsi="宋体" w:eastAsia="宋体" w:cs="宋体"/>
          <w:color w:val="000000"/>
          <w:kern w:val="0"/>
          <w:sz w:val="24"/>
          <w:szCs w:val="24"/>
          <w:lang w:val="en-US" w:eastAsia="zh-CN" w:bidi="ar"/>
        </w:rPr>
        <w:t xml:space="preserve">）规定，本项目室外消防用水量按 </w:t>
      </w:r>
      <w:r>
        <w:rPr>
          <w:rFonts w:hint="default" w:ascii="Times New Roman" w:hAnsi="Times New Roman" w:eastAsia="宋体" w:cs="Times New Roman"/>
          <w:color w:val="000000"/>
          <w:kern w:val="0"/>
          <w:sz w:val="24"/>
          <w:szCs w:val="24"/>
          <w:lang w:val="en-US" w:eastAsia="zh-CN" w:bidi="ar"/>
        </w:rPr>
        <w:t>15L/s</w:t>
      </w:r>
      <w:r>
        <w:rPr>
          <w:rFonts w:hint="eastAsia" w:ascii="宋体" w:hAnsi="宋体" w:eastAsia="宋体" w:cs="宋体"/>
          <w:color w:val="000000"/>
          <w:kern w:val="0"/>
          <w:sz w:val="24"/>
          <w:szCs w:val="24"/>
          <w:lang w:val="en-US" w:eastAsia="zh-CN" w:bidi="ar"/>
        </w:rPr>
        <w:t xml:space="preserve">，室内消防用水量按 </w:t>
      </w:r>
      <w:r>
        <w:rPr>
          <w:rFonts w:hint="default" w:ascii="Times New Roman" w:hAnsi="Times New Roman" w:eastAsia="宋体" w:cs="Times New Roman"/>
          <w:color w:val="000000"/>
          <w:kern w:val="0"/>
          <w:sz w:val="24"/>
          <w:szCs w:val="24"/>
          <w:lang w:val="en-US" w:eastAsia="zh-CN" w:bidi="ar"/>
        </w:rPr>
        <w:t xml:space="preserve">10L/s </w:t>
      </w:r>
      <w:r>
        <w:rPr>
          <w:rFonts w:hint="eastAsia" w:ascii="宋体" w:hAnsi="宋体" w:eastAsia="宋体" w:cs="宋体"/>
          <w:color w:val="000000"/>
          <w:kern w:val="0"/>
          <w:sz w:val="24"/>
          <w:szCs w:val="24"/>
          <w:lang w:val="en-US" w:eastAsia="zh-CN" w:bidi="ar"/>
        </w:rPr>
        <w:t>计</w:t>
      </w:r>
      <w:r>
        <w:rPr>
          <w:rFonts w:hint="eastAsia" w:ascii="宋体" w:hAnsi="宋体" w:eastAsia="宋体" w:cs="宋体"/>
          <w:color w:val="000000"/>
          <w:kern w:val="0"/>
          <w:sz w:val="20"/>
          <w:szCs w:val="20"/>
          <w:lang w:val="en-US" w:eastAsia="zh-CN" w:bidi="ar"/>
        </w:rPr>
        <w:t>，</w:t>
      </w:r>
      <w:r>
        <w:rPr>
          <w:rFonts w:hint="eastAsia" w:ascii="宋体" w:hAnsi="宋体" w:eastAsia="宋体" w:cs="宋体"/>
          <w:color w:val="000000"/>
          <w:kern w:val="0"/>
          <w:sz w:val="24"/>
          <w:szCs w:val="24"/>
          <w:lang w:val="en-US" w:eastAsia="zh-CN" w:bidi="ar"/>
        </w:rPr>
        <w:t xml:space="preserve"> 项目事故状态下室内消防用水量为54</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eastAsia" w:ascii="宋体" w:hAnsi="宋体" w:eastAsia="宋体" w:cs="宋体"/>
          <w:color w:val="000000"/>
          <w:kern w:val="0"/>
          <w:sz w:val="24"/>
          <w:szCs w:val="24"/>
          <w:lang w:val="en-US" w:eastAsia="zh-CN" w:bidi="ar"/>
        </w:rPr>
        <w:t>，室外消防用水量为36</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eastAsia" w:ascii="宋体" w:hAnsi="宋体" w:eastAsia="宋体" w:cs="宋体"/>
          <w:color w:val="000000"/>
          <w:kern w:val="0"/>
          <w:sz w:val="24"/>
          <w:szCs w:val="24"/>
          <w:lang w:val="en-US" w:eastAsia="zh-CN" w:bidi="ar"/>
        </w:rPr>
        <w:t>，则室内外消防用水量合计90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napToGrid w:val="0"/>
          <w:kern w:val="0"/>
          <w:szCs w:val="21"/>
        </w:rPr>
        <w:t>。</w:t>
      </w:r>
    </w:p>
    <w:p>
      <w:pPr>
        <w:keepNext w:val="0"/>
        <w:keepLines w:val="0"/>
        <w:widowControl/>
        <w:suppressLineNumbers w:val="0"/>
        <w:ind w:firstLine="720" w:firstLineChars="300"/>
        <w:jc w:val="left"/>
        <w:rPr>
          <w:rFonts w:hint="default" w:ascii="宋体" w:hAnsi="宋体" w:eastAsia="宋体" w:cs="宋体"/>
          <w:lang w:val="en-US" w:eastAsia="zh-CN"/>
        </w:rPr>
      </w:pPr>
      <w:r>
        <w:rPr>
          <w:rFonts w:hint="eastAsia" w:ascii="宋体" w:hAnsi="宋体" w:eastAsia="宋体" w:cs="宋体"/>
          <w:color w:val="000000"/>
          <w:kern w:val="0"/>
          <w:sz w:val="24"/>
          <w:szCs w:val="24"/>
          <w:lang w:val="en-US" w:eastAsia="zh-CN" w:bidi="ar"/>
        </w:rPr>
        <w:t>根据《消防给水及消火栓系统技术规范》（</w:t>
      </w:r>
      <w:r>
        <w:rPr>
          <w:rFonts w:hint="default" w:ascii="Times New Roman" w:hAnsi="Times New Roman" w:eastAsia="宋体" w:cs="Times New Roman"/>
          <w:color w:val="000000"/>
          <w:kern w:val="0"/>
          <w:sz w:val="24"/>
          <w:szCs w:val="24"/>
          <w:lang w:val="en-US" w:eastAsia="zh-CN" w:bidi="ar"/>
        </w:rPr>
        <w:t>GB50016-2014</w:t>
      </w:r>
      <w:r>
        <w:rPr>
          <w:rFonts w:hint="eastAsia" w:ascii="宋体" w:hAnsi="宋体" w:eastAsia="宋体" w:cs="宋体"/>
          <w:color w:val="000000"/>
          <w:kern w:val="0"/>
          <w:sz w:val="24"/>
          <w:szCs w:val="24"/>
          <w:lang w:val="en-US" w:eastAsia="zh-CN" w:bidi="ar"/>
        </w:rPr>
        <w:t>）实施指南，消防排水取消防用水的80%，即消防废水量为72</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napToGrid w:val="0"/>
          <w:kern w:val="0"/>
          <w:szCs w:val="21"/>
        </w:rPr>
        <w:t>。</w:t>
      </w:r>
      <w:r>
        <w:rPr>
          <w:rFonts w:hint="eastAsia" w:ascii="Times New Roman" w:hAnsi="Times New Roman" w:eastAsia="宋体" w:cs="Times New Roman"/>
          <w:snapToGrid w:val="0"/>
          <w:kern w:val="0"/>
          <w:szCs w:val="21"/>
          <w:lang w:val="en-US" w:eastAsia="zh-CN"/>
        </w:rPr>
        <w:t>应急池实际120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eastAsia" w:ascii="宋体" w:hAnsi="宋体" w:eastAsia="宋体" w:cs="宋体"/>
          <w:color w:val="000000"/>
          <w:kern w:val="0"/>
          <w:sz w:val="24"/>
          <w:szCs w:val="24"/>
          <w:lang w:val="en-US" w:eastAsia="zh-CN" w:bidi="ar"/>
        </w:rPr>
        <w:t>，能满足现有生产线的要求。</w:t>
      </w:r>
      <w:r>
        <w:rPr>
          <w:rFonts w:hint="eastAsia" w:ascii="Times New Roman" w:hAnsi="Times New Roman" w:eastAsia="宋体" w:cs="Times New Roman"/>
          <w:szCs w:val="21"/>
          <w:vertAlign w:val="superscript"/>
          <w:lang w:val="en-US" w:eastAsia="zh-CN"/>
        </w:rPr>
        <w:t xml:space="preserve"> </w:t>
      </w:r>
    </w:p>
    <w:p>
      <w:pPr>
        <w:keepNext w:val="0"/>
        <w:keepLines w:val="0"/>
        <w:widowControl/>
        <w:suppressLineNumbers w:val="0"/>
        <w:jc w:val="left"/>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904" w:firstLineChars="300"/>
        <w:textAlignment w:val="auto"/>
        <w:rPr>
          <w:rFonts w:hint="eastAsia" w:ascii="Times New Roman" w:hAnsi="Times New Roman" w:eastAsia="宋体" w:cs="宋体"/>
          <w:color w:val="auto"/>
          <w:sz w:val="24"/>
          <w:szCs w:val="24"/>
          <w:lang w:val="en-US" w:eastAsia="zh-CN"/>
        </w:rPr>
      </w:pPr>
      <w:r>
        <w:rPr>
          <w:rFonts w:hint="eastAsia" w:ascii="Times New Roman" w:hAnsi="Times New Roman" w:eastAsia="宋体" w:cs="宋体"/>
          <w:b/>
          <w:bCs/>
          <w:color w:val="auto"/>
          <w:sz w:val="30"/>
          <w:szCs w:val="30"/>
          <w:lang w:val="en-US" w:eastAsia="zh-CN"/>
        </w:rPr>
        <w:t>3.2-2废气处理装置由“UV光解+活性炭吸附”优化为“高压静电+活性炭吸附”的说明：</w:t>
      </w:r>
    </w:p>
    <w:p>
      <w:pPr>
        <w:keepNext w:val="0"/>
        <w:keepLines w:val="0"/>
        <w:widowControl/>
        <w:suppressLineNumbers w:val="0"/>
        <w:jc w:val="left"/>
        <w:rPr>
          <w:rFonts w:hint="eastAsia" w:ascii="Times New Roman" w:hAnsi="Times New Roman"/>
          <w:b w:val="0"/>
          <w:bCs w:val="0"/>
          <w:color w:val="auto"/>
          <w:sz w:val="24"/>
          <w:szCs w:val="24"/>
          <w:lang w:eastAsia="zh-CN"/>
        </w:rPr>
      </w:pPr>
      <w:r>
        <w:rPr>
          <w:rFonts w:hint="eastAsia" w:ascii="Times New Roman" w:hAnsi="Times New Roman" w:eastAsia="宋体"/>
          <w:color w:val="auto"/>
          <w:sz w:val="24"/>
          <w:szCs w:val="24"/>
          <w:lang w:val="en-US" w:eastAsia="zh-CN"/>
        </w:rPr>
        <w:t>根据生态环境部关于印发</w:t>
      </w:r>
      <w:r>
        <w:rPr>
          <w:rFonts w:hint="default" w:ascii="Times New Roman" w:hAnsi="Times New Roman"/>
          <w:b w:val="0"/>
          <w:bCs w:val="0"/>
          <w:color w:val="auto"/>
          <w:sz w:val="24"/>
          <w:szCs w:val="24"/>
        </w:rPr>
        <w:t>《重点行业挥发性有机物综合治理方案》</w:t>
      </w:r>
      <w:r>
        <w:rPr>
          <w:rFonts w:hint="eastAsia" w:ascii="Times New Roman" w:hAnsi="Times New Roman"/>
          <w:b w:val="0"/>
          <w:bCs w:val="0"/>
          <w:color w:val="auto"/>
          <w:sz w:val="24"/>
          <w:szCs w:val="24"/>
          <w:lang w:eastAsia="zh-CN"/>
        </w:rPr>
        <w:t>的通知（环大气〔2019〕53号）的要求：（三）推进建设适宜高效的治污设施。</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Times New Roman" w:hAnsi="Times New Roman" w:eastAsia="宋体"/>
          <w:color w:val="auto"/>
          <w:sz w:val="24"/>
          <w:szCs w:val="24"/>
        </w:rPr>
        <w:t>在金属导线与金属管壁 〔或极板〕间施加高压直流电，以维持足以使气体产生电离的电场</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使阴阳极之间形成电晕区。按电场理论</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正离子吸附于带负电的电晕极</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负离子吸附于带正电的沉淀极；所有被电离的正负离子均充满电晕极与沉淀极之间的整个空间。当含油雾滴等杂质的</w:t>
      </w:r>
      <w:r>
        <w:rPr>
          <w:rFonts w:hint="eastAsia" w:ascii="Times New Roman" w:hAnsi="Times New Roman" w:eastAsia="宋体"/>
          <w:color w:val="auto"/>
          <w:sz w:val="24"/>
          <w:szCs w:val="24"/>
          <w:lang w:eastAsia="zh-CN"/>
        </w:rPr>
        <w:t>有机废气</w:t>
      </w:r>
      <w:r>
        <w:rPr>
          <w:rFonts w:hint="eastAsia" w:ascii="Times New Roman" w:hAnsi="Times New Roman" w:eastAsia="宋体"/>
          <w:color w:val="auto"/>
          <w:sz w:val="24"/>
          <w:szCs w:val="24"/>
        </w:rPr>
        <w:t>通过该电场时，吸附了负离子和电子的杂质在电场库伦力的作用下，移动到沉淀极后释放出所带电荷，并吸附于沉淀极上，从而达到净化气体的目的，通常称为荷电现象。当吸附于沉淀极上的杂质量增加到大于其附着力时，会自动向下流趟，从湿式离子捕捉器底部排出，</w:t>
      </w:r>
      <w:r>
        <w:rPr>
          <w:rFonts w:hint="eastAsia" w:ascii="Times New Roman" w:hAnsi="Times New Roman" w:eastAsia="宋体"/>
          <w:color w:val="auto"/>
          <w:sz w:val="24"/>
          <w:szCs w:val="24"/>
          <w:lang w:eastAsia="zh-CN"/>
        </w:rPr>
        <w:t>洁净的有机废气</w:t>
      </w:r>
      <w:r>
        <w:rPr>
          <w:rFonts w:hint="eastAsia" w:ascii="Times New Roman" w:hAnsi="Times New Roman" w:eastAsia="宋体"/>
          <w:color w:val="auto"/>
          <w:sz w:val="24"/>
          <w:szCs w:val="24"/>
        </w:rPr>
        <w:t>则从湿式离子捕捉器上部离开并进入下道工序</w:t>
      </w:r>
      <w:r>
        <w:rPr>
          <w:rFonts w:hint="eastAsia" w:ascii="Times New Roman" w:hAnsi="Times New Roman" w:eastAsia="宋体"/>
          <w:color w:val="auto"/>
          <w:sz w:val="24"/>
          <w:szCs w:val="24"/>
          <w:lang w:eastAsia="zh-CN"/>
        </w:rPr>
        <w:t>活性炭吸附装置</w:t>
      </w:r>
      <w:r>
        <w:rPr>
          <w:rFonts w:hint="eastAsia" w:ascii="Times New Roman" w:hAnsi="Times New Roman" w:eastAsia="宋体"/>
          <w:color w:val="auto"/>
          <w:sz w:val="24"/>
          <w:szCs w:val="24"/>
        </w:rPr>
        <w:t>。</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jc w:val="left"/>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eastAsia="zh-CN"/>
        </w:rPr>
        <w:t>本项目废塑料熔融后产生的有机废气中含有大量的油脂，该气体先经高压静电去除油脂，废气进入活性炭吸附装置后可提高活性炭的吸附效率</w:t>
      </w:r>
      <w:r>
        <w:rPr>
          <w:rFonts w:hint="eastAsia" w:ascii="Times New Roman" w:hAnsi="Times New Roman" w:eastAsia="宋体"/>
        </w:rPr>
        <w:t>。</w:t>
      </w: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pPr>
    </w:p>
    <w:p>
      <w:pPr>
        <w:pStyle w:val="104"/>
        <w:spacing w:line="240" w:lineRule="auto"/>
        <w:ind w:firstLine="0" w:firstLineChars="0"/>
        <w:jc w:val="center"/>
        <w:rPr>
          <w:rFonts w:ascii="Times New Roman" w:hAnsi="Times New Roman" w:eastAsia="宋体"/>
          <w:b/>
          <w:bCs/>
          <w:color w:val="auto"/>
          <w:sz w:val="21"/>
          <w:szCs w:val="21"/>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2" w:name="_Toc20715"/>
      <w:bookmarkStart w:id="13" w:name="_Toc507454868"/>
      <w:r>
        <w:rPr>
          <w:rFonts w:hint="eastAsia" w:ascii="Times New Roman" w:hAnsi="Times New Roman" w:eastAsia="宋体"/>
          <w:color w:val="auto"/>
        </w:rPr>
        <w:t>3.</w:t>
      </w:r>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产品方案、主要原辅材料及设备</w:t>
      </w:r>
      <w:bookmarkEnd w:id="12"/>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4" w:name="_Toc22076"/>
      <w:r>
        <w:rPr>
          <w:rFonts w:hint="eastAsia" w:ascii="Times New Roman" w:hAnsi="Times New Roman" w:eastAsia="宋体" w:cs="宋体"/>
          <w:b/>
          <w:bCs/>
          <w:color w:val="auto"/>
          <w:sz w:val="28"/>
          <w:szCs w:val="28"/>
          <w:lang w:val="en-US" w:eastAsia="zh-CN"/>
        </w:rPr>
        <w:t>3.3.1产品方案</w:t>
      </w:r>
      <w:bookmarkEnd w:id="14"/>
    </w:p>
    <w:p>
      <w:pPr>
        <w:pStyle w:val="36"/>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rPr>
      </w:pPr>
      <w:r>
        <w:rPr>
          <w:rFonts w:hint="eastAsia" w:ascii="Times New Roman" w:hAnsi="Times New Roman" w:eastAsia="宋体" w:cs="宋体"/>
          <w:color w:val="auto"/>
          <w:sz w:val="24"/>
          <w:lang w:val="en-US" w:eastAsia="zh-CN"/>
        </w:rPr>
        <w:t>本项目主要产品为再生塑料颗粒，项目主要产品方案如下所示。</w:t>
      </w:r>
    </w:p>
    <w:p>
      <w:pPr>
        <w:pageBreakBefore w:val="0"/>
        <w:widowControl w:val="0"/>
        <w:kinsoku/>
        <w:wordWrap/>
        <w:overflowPunct/>
        <w:topLinePunct w:val="0"/>
        <w:bidi w:val="0"/>
        <w:snapToGrid/>
        <w:spacing w:line="360" w:lineRule="auto"/>
        <w:jc w:val="center"/>
        <w:textAlignment w:val="auto"/>
        <w:rPr>
          <w:rFonts w:ascii="Times New Roman" w:hAnsi="Times New Roman" w:eastAsia="宋体" w:cs="Times New Roman"/>
          <w:b/>
          <w:szCs w:val="21"/>
        </w:rPr>
      </w:pPr>
      <w:r>
        <w:rPr>
          <w:rFonts w:hint="eastAsia" w:ascii="Times New Roman" w:hAnsi="Times New Roman" w:eastAsia="宋体" w:cs="Times New Roman"/>
          <w:b/>
          <w:szCs w:val="21"/>
        </w:rPr>
        <w:t>表</w:t>
      </w:r>
      <w:r>
        <w:rPr>
          <w:rFonts w:ascii="Times New Roman" w:hAnsi="Times New Roman" w:eastAsia="宋体" w:cs="Times New Roman"/>
          <w:b/>
          <w:szCs w:val="21"/>
        </w:rPr>
        <w:t>3</w:t>
      </w:r>
      <w:r>
        <w:rPr>
          <w:rFonts w:hint="eastAsia" w:ascii="Times New Roman" w:hAnsi="Times New Roman" w:eastAsia="宋体" w:cs="Times New Roman"/>
          <w:b/>
          <w:szCs w:val="21"/>
        </w:rPr>
        <w:t>.</w:t>
      </w:r>
      <w:r>
        <w:rPr>
          <w:rFonts w:hint="eastAsia" w:ascii="Times New Roman" w:hAnsi="Times New Roman" w:eastAsia="宋体" w:cs="Times New Roman"/>
          <w:b/>
          <w:szCs w:val="21"/>
          <w:lang w:val="en-US" w:eastAsia="zh-CN"/>
        </w:rPr>
        <w:t>3</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rPr>
        <w:t>主要产品方案一览</w:t>
      </w:r>
      <w:r>
        <w:rPr>
          <w:rFonts w:ascii="Times New Roman" w:hAnsi="Times New Roman" w:eastAsia="宋体" w:cs="Times New Roman"/>
          <w:b/>
          <w:szCs w:val="21"/>
        </w:rPr>
        <w:t>表</w:t>
      </w:r>
    </w:p>
    <w:tbl>
      <w:tblPr>
        <w:tblStyle w:val="29"/>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997"/>
        <w:gridCol w:w="1716"/>
        <w:gridCol w:w="1515"/>
        <w:gridCol w:w="1408"/>
        <w:gridCol w:w="1684"/>
        <w:gridCol w:w="2071"/>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4" w:hRule="atLeast"/>
          <w:jc w:val="center"/>
        </w:trPr>
        <w:tc>
          <w:tcPr>
            <w:tcW w:w="531" w:type="pct"/>
            <w:vAlign w:val="center"/>
          </w:tcPr>
          <w:p>
            <w:pPr>
              <w:pStyle w:val="106"/>
              <w:spacing w:line="240" w:lineRule="auto"/>
              <w:rPr>
                <w:rFonts w:ascii="Times New Roman" w:hAnsi="Times New Roman" w:eastAsia="宋体"/>
                <w:b/>
                <w:kern w:val="0"/>
              </w:rPr>
            </w:pPr>
            <w:r>
              <w:rPr>
                <w:rFonts w:ascii="Times New Roman" w:hAnsi="Times New Roman" w:eastAsia="宋体"/>
                <w:b/>
                <w:kern w:val="0"/>
              </w:rPr>
              <w:t>名称</w:t>
            </w:r>
          </w:p>
        </w:tc>
        <w:tc>
          <w:tcPr>
            <w:tcW w:w="913" w:type="pct"/>
            <w:vAlign w:val="center"/>
          </w:tcPr>
          <w:p>
            <w:pPr>
              <w:pStyle w:val="106"/>
              <w:spacing w:line="240" w:lineRule="auto"/>
              <w:rPr>
                <w:rFonts w:ascii="Times New Roman" w:hAnsi="Times New Roman" w:eastAsia="宋体"/>
                <w:b/>
                <w:kern w:val="0"/>
              </w:rPr>
            </w:pPr>
            <w:r>
              <w:rPr>
                <w:rFonts w:hint="eastAsia" w:ascii="Times New Roman" w:hAnsi="Times New Roman" w:eastAsia="宋体"/>
                <w:b/>
                <w:kern w:val="0"/>
              </w:rPr>
              <w:t>环评规模（t/a）</w:t>
            </w:r>
          </w:p>
        </w:tc>
        <w:tc>
          <w:tcPr>
            <w:tcW w:w="806" w:type="pct"/>
            <w:vAlign w:val="center"/>
          </w:tcPr>
          <w:p>
            <w:pPr>
              <w:pStyle w:val="106"/>
              <w:spacing w:line="240" w:lineRule="auto"/>
              <w:rPr>
                <w:rFonts w:ascii="Times New Roman" w:hAnsi="Times New Roman" w:eastAsia="宋体"/>
                <w:b/>
                <w:kern w:val="0"/>
              </w:rPr>
            </w:pPr>
            <w:r>
              <w:rPr>
                <w:rFonts w:hint="eastAsia" w:ascii="Times New Roman" w:hAnsi="Times New Roman" w:eastAsia="宋体"/>
                <w:b/>
                <w:kern w:val="0"/>
              </w:rPr>
              <w:t>实际规模（t/a）</w:t>
            </w:r>
          </w:p>
        </w:tc>
        <w:tc>
          <w:tcPr>
            <w:tcW w:w="749" w:type="pct"/>
            <w:vAlign w:val="center"/>
          </w:tcPr>
          <w:p>
            <w:pPr>
              <w:widowControl/>
              <w:jc w:val="center"/>
              <w:rPr>
                <w:rFonts w:hint="eastAsia" w:ascii="Times New Roman" w:hAnsi="Times New Roman" w:eastAsia="宋体"/>
                <w:b/>
                <w:szCs w:val="21"/>
                <w:lang w:eastAsia="zh-CN"/>
              </w:rPr>
            </w:pPr>
            <w:r>
              <w:rPr>
                <w:rFonts w:hint="eastAsia" w:ascii="Times New Roman" w:hAnsi="Times New Roman" w:eastAsia="宋体"/>
                <w:b/>
                <w:szCs w:val="21"/>
                <w:lang w:eastAsia="zh-CN"/>
              </w:rPr>
              <w:t>规格</w:t>
            </w:r>
          </w:p>
        </w:tc>
        <w:tc>
          <w:tcPr>
            <w:tcW w:w="896" w:type="pct"/>
            <w:vAlign w:val="center"/>
          </w:tcPr>
          <w:p>
            <w:pPr>
              <w:jc w:val="center"/>
              <w:rPr>
                <w:rFonts w:hint="eastAsia" w:ascii="Times New Roman" w:hAnsi="Times New Roman" w:eastAsia="宋体"/>
                <w:b/>
                <w:szCs w:val="21"/>
                <w:lang w:eastAsia="zh-CN"/>
              </w:rPr>
            </w:pPr>
            <w:r>
              <w:rPr>
                <w:rFonts w:hint="eastAsia" w:ascii="Times New Roman" w:hAnsi="Times New Roman" w:eastAsia="宋体"/>
                <w:b/>
                <w:szCs w:val="21"/>
                <w:lang w:eastAsia="zh-CN"/>
              </w:rPr>
              <w:t>包装形式</w:t>
            </w:r>
          </w:p>
        </w:tc>
        <w:tc>
          <w:tcPr>
            <w:tcW w:w="1102" w:type="pct"/>
            <w:vAlign w:val="center"/>
          </w:tcPr>
          <w:p>
            <w:pPr>
              <w:jc w:val="center"/>
              <w:rPr>
                <w:rFonts w:ascii="Times New Roman" w:hAnsi="Times New Roman" w:eastAsia="宋体"/>
                <w:b/>
                <w:szCs w:val="21"/>
              </w:rPr>
            </w:pPr>
            <w:r>
              <w:rPr>
                <w:rFonts w:ascii="Times New Roman" w:hAnsi="Times New Roman" w:eastAsia="宋体"/>
                <w:b/>
                <w:szCs w:val="21"/>
              </w:rPr>
              <w:t>备注</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454" w:hRule="atLeast"/>
          <w:jc w:val="center"/>
        </w:trPr>
        <w:tc>
          <w:tcPr>
            <w:tcW w:w="531" w:type="pct"/>
            <w:vAlign w:val="center"/>
          </w:tcPr>
          <w:p>
            <w:pPr>
              <w:jc w:val="center"/>
              <w:rPr>
                <w:rFonts w:hint="eastAsia" w:ascii="Times New Roman" w:hAnsi="Times New Roman" w:eastAsia="宋体"/>
                <w:szCs w:val="21"/>
                <w:lang w:eastAsia="zh-CN"/>
              </w:rPr>
            </w:pPr>
            <w:r>
              <w:rPr>
                <w:rFonts w:hint="eastAsia" w:ascii="Times New Roman" w:hAnsi="Times New Roman" w:eastAsia="宋体"/>
                <w:szCs w:val="21"/>
                <w:lang w:eastAsia="zh-CN"/>
              </w:rPr>
              <w:t>再生塑料颗粒</w:t>
            </w:r>
          </w:p>
        </w:tc>
        <w:tc>
          <w:tcPr>
            <w:tcW w:w="913"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8000</w:t>
            </w:r>
          </w:p>
        </w:tc>
        <w:tc>
          <w:tcPr>
            <w:tcW w:w="806" w:type="pct"/>
            <w:vAlign w:val="center"/>
          </w:tcPr>
          <w:p>
            <w:pPr>
              <w:jc w:val="both"/>
              <w:rPr>
                <w:rFonts w:hint="default" w:ascii="Times New Roman" w:hAnsi="Times New Roman" w:eastAsia="宋体"/>
                <w:szCs w:val="21"/>
                <w:lang w:val="en-US" w:eastAsia="zh-CN"/>
              </w:rPr>
            </w:pPr>
            <w:r>
              <w:rPr>
                <w:rFonts w:hint="eastAsia" w:ascii="Times New Roman" w:hAnsi="Times New Roman" w:eastAsia="宋体"/>
                <w:szCs w:val="21"/>
                <w:lang w:val="en-US" w:eastAsia="zh-CN"/>
              </w:rPr>
              <w:t xml:space="preserve">  1300</w:t>
            </w:r>
          </w:p>
        </w:tc>
        <w:tc>
          <w:tcPr>
            <w:tcW w:w="749" w:type="pct"/>
            <w:vAlign w:val="center"/>
          </w:tcPr>
          <w:p>
            <w:pPr>
              <w:pStyle w:val="22"/>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5mm~8mm</w:t>
            </w:r>
          </w:p>
        </w:tc>
        <w:tc>
          <w:tcPr>
            <w:tcW w:w="896" w:type="pct"/>
            <w:vAlign w:val="center"/>
          </w:tcPr>
          <w:p>
            <w:pPr>
              <w:pStyle w:val="22"/>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袋装，25</w:t>
            </w:r>
            <w:r>
              <w:rPr>
                <w:rFonts w:hint="default" w:ascii="Times New Roman" w:hAnsi="Times New Roman" w:eastAsia="宋体" w:cs="Times New Roman"/>
                <w:bCs w:val="0"/>
                <w:color w:val="auto"/>
                <w:szCs w:val="21"/>
                <w:lang w:val="en-US" w:eastAsia="zh-CN"/>
              </w:rPr>
              <w:t>kg/袋</w:t>
            </w:r>
          </w:p>
        </w:tc>
        <w:tc>
          <w:tcPr>
            <w:tcW w:w="1102" w:type="pct"/>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lang w:eastAsia="zh-CN"/>
              </w:rPr>
              <w:t>实际建成</w:t>
            </w:r>
            <w:r>
              <w:rPr>
                <w:rFonts w:hint="eastAsia" w:ascii="Times New Roman" w:hAnsi="Times New Roman" w:eastAsia="宋体" w:cs="Times New Roman"/>
                <w:lang w:val="en-US" w:eastAsia="zh-CN"/>
              </w:rPr>
              <w:t>1条生产线</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9"/>
        <w:rPr>
          <w:rFonts w:hint="eastAsia" w:ascii="Times New Roman" w:hAnsi="Times New Roman" w:eastAsia="宋体" w:cs="宋体"/>
          <w:b/>
          <w:bCs/>
          <w:color w:val="auto"/>
          <w:sz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5" w:name="_Toc13229"/>
      <w:r>
        <w:rPr>
          <w:rFonts w:hint="eastAsia" w:ascii="Times New Roman" w:hAnsi="Times New Roman" w:eastAsia="宋体" w:cs="宋体"/>
          <w:b/>
          <w:bCs/>
          <w:color w:val="auto"/>
          <w:sz w:val="28"/>
          <w:szCs w:val="28"/>
          <w:lang w:val="en-US" w:eastAsia="zh-CN"/>
        </w:rPr>
        <w:t>3.3.2主要原辅料及用量</w:t>
      </w:r>
      <w:bookmarkEnd w:id="15"/>
    </w:p>
    <w:p>
      <w:pPr>
        <w:pStyle w:val="10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ascii="Times New Roman" w:hAnsi="Times New Roman" w:eastAsia="宋体"/>
        </w:rPr>
        <w:t>本项目</w:t>
      </w:r>
      <w:r>
        <w:rPr>
          <w:rFonts w:hint="eastAsia" w:ascii="Times New Roman" w:hAnsi="Times New Roman" w:eastAsia="宋体"/>
        </w:rPr>
        <w:t>主要原料及能源消耗</w:t>
      </w:r>
      <w:r>
        <w:rPr>
          <w:rFonts w:ascii="Times New Roman" w:hAnsi="Times New Roman" w:eastAsia="宋体"/>
        </w:rPr>
        <w:t>详见表3.</w:t>
      </w:r>
      <w:r>
        <w:rPr>
          <w:rFonts w:hint="eastAsia" w:ascii="Times New Roman" w:hAnsi="Times New Roman" w:eastAsia="宋体"/>
          <w:lang w:val="en-US" w:eastAsia="zh-CN"/>
        </w:rPr>
        <w:t>3</w:t>
      </w:r>
      <w:r>
        <w:rPr>
          <w:rFonts w:ascii="Times New Roman" w:hAnsi="Times New Roman" w:eastAsia="宋体"/>
        </w:rPr>
        <w:t>-</w:t>
      </w:r>
      <w:r>
        <w:rPr>
          <w:rFonts w:hint="eastAsia" w:ascii="Times New Roman" w:hAnsi="Times New Roman" w:eastAsia="宋体"/>
        </w:rPr>
        <w:t>2</w:t>
      </w:r>
      <w:r>
        <w:rPr>
          <w:rFonts w:ascii="Times New Roman" w:hAnsi="Times New Roman" w:eastAsia="宋体"/>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3.3-2</w:t>
      </w:r>
      <w:r>
        <w:rPr>
          <w:rFonts w:hint="default"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lang w:val="en-US" w:eastAsia="zh-CN"/>
        </w:rPr>
        <w:t>主要原料及能源消耗一览表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00"/>
        <w:gridCol w:w="966"/>
        <w:gridCol w:w="1265"/>
        <w:gridCol w:w="1306"/>
        <w:gridCol w:w="1321"/>
        <w:gridCol w:w="1412"/>
        <w:gridCol w:w="25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类别</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名称</w:t>
            </w:r>
          </w:p>
        </w:tc>
        <w:tc>
          <w:tcPr>
            <w:tcW w:w="673"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环评</w:t>
            </w:r>
            <w:r>
              <w:rPr>
                <w:rFonts w:hint="default" w:ascii="Times New Roman" w:hAnsi="Times New Roman" w:eastAsia="宋体" w:cs="Times New Roman"/>
                <w:b/>
                <w:bCs/>
                <w:color w:val="auto"/>
                <w:szCs w:val="21"/>
                <w:lang w:val="en-US" w:eastAsia="zh-CN"/>
              </w:rPr>
              <w:t>消耗量</w:t>
            </w:r>
            <w:r>
              <w:rPr>
                <w:rFonts w:hint="eastAsia" w:ascii="Times New Roman" w:hAnsi="Times New Roman" w:eastAsia="宋体" w:cs="Times New Roman"/>
                <w:b/>
                <w:bCs/>
                <w:color w:val="auto"/>
                <w:szCs w:val="21"/>
                <w:lang w:val="en-US" w:eastAsia="zh-CN"/>
              </w:rPr>
              <w:t>（t/a）</w:t>
            </w:r>
          </w:p>
        </w:tc>
        <w:tc>
          <w:tcPr>
            <w:tcW w:w="695"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实际消耗量（t/a）</w:t>
            </w:r>
          </w:p>
        </w:tc>
        <w:tc>
          <w:tcPr>
            <w:tcW w:w="703"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来源及运输</w:t>
            </w:r>
          </w:p>
        </w:tc>
        <w:tc>
          <w:tcPr>
            <w:tcW w:w="751"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形态</w:t>
            </w:r>
          </w:p>
        </w:tc>
        <w:tc>
          <w:tcPr>
            <w:tcW w:w="1341"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原料</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废旧PP、PE塑料</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r>
              <w:rPr>
                <w:rFonts w:hint="default" w:ascii="Times New Roman" w:hAnsi="Times New Roman" w:eastAsia="宋体" w:cs="Times New Roman"/>
                <w:color w:val="auto"/>
                <w:szCs w:val="21"/>
                <w:lang w:val="en-US" w:eastAsia="zh-CN"/>
              </w:rPr>
              <w:t>03.4</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1334</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附近收购、汽运</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固态，碎片状，25kg/袋</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lang w:eastAsia="zh-CN"/>
              </w:rPr>
              <w:t>主要为</w:t>
            </w:r>
            <w:r>
              <w:rPr>
                <w:rFonts w:hint="default" w:ascii="Times New Roman" w:hAnsi="Times New Roman" w:eastAsia="宋体" w:cs="Times New Roman"/>
                <w:color w:val="auto"/>
                <w:kern w:val="0"/>
                <w:szCs w:val="21"/>
                <w:lang w:val="en-US" w:eastAsia="zh-CN"/>
              </w:rPr>
              <w:t>废旧农膜，</w:t>
            </w:r>
            <w:r>
              <w:rPr>
                <w:rFonts w:hint="default" w:ascii="Times New Roman" w:hAnsi="Times New Roman" w:eastAsia="宋体" w:cs="Times New Roman"/>
                <w:color w:val="auto"/>
                <w:kern w:val="0"/>
                <w:szCs w:val="21"/>
              </w:rPr>
              <w:t>原材料仓库堆放，最大堆放高度不超过2.0m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restar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辅料</w:t>
            </w: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过滤网</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0.6</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0.1</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eastAsia="zh-CN"/>
              </w:rPr>
              <w:t>外购</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eastAsia="zh-CN"/>
              </w:rPr>
              <w:t>网片状，</w:t>
            </w:r>
            <w:r>
              <w:rPr>
                <w:rFonts w:hint="default" w:ascii="Times New Roman" w:hAnsi="Times New Roman" w:eastAsia="宋体" w:cs="Times New Roman"/>
                <w:color w:val="auto"/>
                <w:kern w:val="0"/>
                <w:szCs w:val="21"/>
                <w:lang w:val="en-US" w:eastAsia="zh-CN"/>
              </w:rPr>
              <w:t>10kg/盒</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挤出机挤出过程使用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continue"/>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p>
        </w:tc>
        <w:tc>
          <w:tcPr>
            <w:tcW w:w="514" w:type="pc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活性炭</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3.15</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1.05</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外购</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eastAsia="zh-CN"/>
              </w:rPr>
              <w:t>块状，</w:t>
            </w:r>
            <w:r>
              <w:rPr>
                <w:rFonts w:hint="eastAsia" w:ascii="Times New Roman" w:hAnsi="Times New Roman" w:eastAsia="宋体" w:cs="Times New Roman"/>
                <w:color w:val="auto"/>
                <w:kern w:val="0"/>
                <w:szCs w:val="21"/>
                <w:lang w:val="en-US" w:eastAsia="zh-CN"/>
              </w:rPr>
              <w:t>25kg/盒</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auto"/>
                <w:kern w:val="0"/>
                <w:szCs w:val="21"/>
                <w:lang w:val="en-US" w:eastAsia="zh-CN"/>
              </w:rPr>
              <w:t>废气处理装置使用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restart"/>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能源</w:t>
            </w:r>
          </w:p>
        </w:tc>
        <w:tc>
          <w:tcPr>
            <w:tcW w:w="51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自来水</w:t>
            </w:r>
          </w:p>
        </w:tc>
        <w:tc>
          <w:tcPr>
            <w:tcW w:w="67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vertAlign w:val="baseline"/>
                <w:lang w:val="en-US" w:eastAsia="zh-CN"/>
              </w:rPr>
            </w:pPr>
            <w:r>
              <w:rPr>
                <w:rFonts w:hint="default" w:ascii="Times New Roman" w:hAnsi="Times New Roman" w:eastAsia="宋体" w:cs="Times New Roman"/>
                <w:color w:val="auto"/>
                <w:szCs w:val="21"/>
              </w:rPr>
              <w:t>462.36m</w:t>
            </w:r>
            <w:r>
              <w:rPr>
                <w:rFonts w:hint="default" w:ascii="Times New Roman" w:hAnsi="Times New Roman" w:eastAsia="宋体" w:cs="Times New Roman"/>
                <w:color w:val="auto"/>
                <w:szCs w:val="21"/>
                <w:vertAlign w:val="superscript"/>
              </w:rPr>
              <w:t>3</w:t>
            </w:r>
            <w:r>
              <w:rPr>
                <w:rFonts w:hint="eastAsia" w:ascii="Times New Roman" w:hAnsi="Times New Roman" w:eastAsia="宋体" w:cs="Times New Roman"/>
                <w:color w:val="auto"/>
                <w:szCs w:val="21"/>
                <w:vertAlign w:val="baseline"/>
                <w:lang w:val="en-US" w:eastAsia="zh-CN"/>
              </w:rPr>
              <w:t>/a</w:t>
            </w:r>
          </w:p>
        </w:tc>
        <w:tc>
          <w:tcPr>
            <w:tcW w:w="69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highlight w:val="none"/>
                <w:lang w:val="en-US" w:eastAsia="zh-CN"/>
              </w:rPr>
              <w:t>169.56</w:t>
            </w:r>
          </w:p>
        </w:tc>
        <w:tc>
          <w:tcPr>
            <w:tcW w:w="7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市政供水管网</w:t>
            </w:r>
          </w:p>
        </w:tc>
        <w:tc>
          <w:tcPr>
            <w:tcW w:w="751"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液态</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依托安玻节能厂区现有给水管网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 w:type="pct"/>
            <w:vMerge w:val="continue"/>
            <w:tcBorders>
              <w:tl2br w:val="nil"/>
              <w:tr2bl w:val="nil"/>
            </w:tcBorders>
            <w:noWrap w:val="0"/>
            <w:vAlign w:val="center"/>
          </w:tcPr>
          <w:p>
            <w:pPr>
              <w:pStyle w:val="22"/>
              <w:keepNext w:val="0"/>
              <w:keepLines w:val="0"/>
              <w:pageBreakBefore w:val="0"/>
              <w:widowControl w:val="0"/>
              <w:kinsoku/>
              <w:wordWrap/>
              <w:overflowPunct/>
              <w:topLinePunct w:val="0"/>
              <w:bidi w:val="0"/>
              <w:adjustRightInd/>
              <w:snapToGrid/>
              <w:spacing w:after="0" w:line="240" w:lineRule="auto"/>
              <w:ind w:right="0"/>
              <w:jc w:val="center"/>
              <w:textAlignment w:val="auto"/>
              <w:rPr>
                <w:rFonts w:hint="default" w:ascii="Times New Roman" w:hAnsi="Times New Roman" w:eastAsia="宋体" w:cs="Times New Roman"/>
                <w:color w:val="auto"/>
                <w:szCs w:val="21"/>
                <w:lang w:val="en-US" w:eastAsia="zh-CN"/>
              </w:rPr>
            </w:pPr>
          </w:p>
        </w:tc>
        <w:tc>
          <w:tcPr>
            <w:tcW w:w="514"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电</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snapToGrid w:val="0"/>
                <w:color w:val="auto"/>
                <w:kern w:val="0"/>
                <w:szCs w:val="21"/>
                <w:lang w:val="en-US" w:eastAsia="zh-CN"/>
              </w:rPr>
            </w:pPr>
            <w:r>
              <w:rPr>
                <w:rFonts w:hint="default" w:ascii="Times New Roman" w:hAnsi="Times New Roman" w:eastAsia="宋体" w:cs="Times New Roman"/>
                <w:snapToGrid w:val="0"/>
                <w:color w:val="auto"/>
                <w:kern w:val="0"/>
                <w:szCs w:val="21"/>
              </w:rPr>
              <w:t>100</w:t>
            </w:r>
            <w:r>
              <w:rPr>
                <w:rFonts w:hint="eastAsia" w:ascii="Times New Roman" w:hAnsi="Times New Roman" w:eastAsia="宋体" w:cs="Times New Roman"/>
                <w:snapToGrid w:val="0"/>
                <w:color w:val="auto"/>
                <w:kern w:val="0"/>
                <w:szCs w:val="21"/>
                <w:lang w:eastAsia="zh-CN"/>
              </w:rPr>
              <w:t>万</w:t>
            </w:r>
            <w:r>
              <w:rPr>
                <w:rFonts w:hint="default" w:ascii="Times New Roman" w:hAnsi="Times New Roman" w:eastAsia="宋体" w:cs="Times New Roman"/>
                <w:snapToGrid w:val="0"/>
                <w:color w:val="auto"/>
                <w:kern w:val="0"/>
                <w:szCs w:val="21"/>
              </w:rPr>
              <w:t>kWh</w:t>
            </w:r>
            <w:r>
              <w:rPr>
                <w:rFonts w:hint="eastAsia" w:ascii="Times New Roman" w:hAnsi="Times New Roman" w:eastAsia="宋体" w:cs="Times New Roman"/>
                <w:snapToGrid w:val="0"/>
                <w:color w:val="auto"/>
                <w:kern w:val="0"/>
                <w:szCs w:val="21"/>
                <w:lang w:val="en-US" w:eastAsia="zh-CN"/>
              </w:rPr>
              <w:t>/a</w:t>
            </w:r>
          </w:p>
        </w:tc>
        <w:tc>
          <w:tcPr>
            <w:tcW w:w="69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snapToGrid w:val="0"/>
                <w:color w:val="auto"/>
                <w:kern w:val="0"/>
                <w:szCs w:val="21"/>
                <w:lang w:val="en-US" w:eastAsia="zh-CN"/>
              </w:rPr>
            </w:pPr>
            <w:r>
              <w:rPr>
                <w:rFonts w:hint="eastAsia" w:ascii="Times New Roman" w:hAnsi="Times New Roman" w:eastAsia="宋体" w:cs="Times New Roman"/>
                <w:snapToGrid w:val="0"/>
                <w:color w:val="auto"/>
                <w:kern w:val="0"/>
                <w:szCs w:val="21"/>
                <w:lang w:val="en-US" w:eastAsia="zh-CN"/>
              </w:rPr>
              <w:t>25</w:t>
            </w:r>
            <w:r>
              <w:rPr>
                <w:rFonts w:hint="default" w:ascii="Times New Roman" w:hAnsi="Times New Roman" w:eastAsia="宋体" w:cs="Times New Roman"/>
                <w:snapToGrid w:val="0"/>
                <w:color w:val="auto"/>
                <w:kern w:val="0"/>
                <w:szCs w:val="21"/>
              </w:rPr>
              <w:t>万kWh</w:t>
            </w:r>
            <w:r>
              <w:rPr>
                <w:rFonts w:hint="eastAsia" w:ascii="Times New Roman" w:hAnsi="Times New Roman" w:eastAsia="宋体" w:cs="Times New Roman"/>
                <w:snapToGrid w:val="0"/>
                <w:color w:val="auto"/>
                <w:kern w:val="0"/>
                <w:szCs w:val="21"/>
                <w:lang w:val="en-US" w:eastAsia="zh-CN"/>
              </w:rPr>
              <w:t>/a</w:t>
            </w:r>
          </w:p>
        </w:tc>
        <w:tc>
          <w:tcPr>
            <w:tcW w:w="70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市政供电管网</w:t>
            </w:r>
          </w:p>
        </w:tc>
        <w:tc>
          <w:tcPr>
            <w:tcW w:w="75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34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依托安玻节能厂区现有供电管网</w:t>
            </w:r>
          </w:p>
        </w:tc>
      </w:tr>
    </w:tbl>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9"/>
        <w:rPr>
          <w:rFonts w:hint="default" w:ascii="Times New Roman" w:hAnsi="Times New Roman" w:eastAsia="宋体" w:cs="宋体"/>
          <w:b/>
          <w:bCs/>
          <w:color w:val="auto"/>
          <w:sz w:val="21"/>
          <w:szCs w:val="21"/>
          <w:lang w:val="en-US" w:eastAsia="zh-CN"/>
        </w:rPr>
      </w:pPr>
      <w:r>
        <w:rPr>
          <w:rFonts w:hint="eastAsia" w:ascii="Times New Roman" w:hAnsi="Times New Roman" w:eastAsia="宋体" w:cs="宋体"/>
          <w:b/>
          <w:bCs/>
          <w:color w:val="auto"/>
          <w:sz w:val="21"/>
          <w:szCs w:val="21"/>
          <w:lang w:val="en-US" w:eastAsia="zh-CN"/>
        </w:rPr>
        <w:t>备注：实际建成1条生产线。</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宋体"/>
          <w:b/>
          <w:bCs/>
          <w:color w:val="auto"/>
          <w:sz w:val="28"/>
          <w:szCs w:val="28"/>
          <w:lang w:val="en-US" w:eastAsia="zh-CN"/>
        </w:rPr>
      </w:pPr>
      <w:bookmarkStart w:id="16" w:name="_Toc13342"/>
      <w:r>
        <w:rPr>
          <w:rFonts w:hint="eastAsia" w:ascii="Times New Roman" w:hAnsi="Times New Roman" w:eastAsia="宋体" w:cs="宋体"/>
          <w:b/>
          <w:bCs/>
          <w:color w:val="auto"/>
          <w:sz w:val="28"/>
          <w:szCs w:val="28"/>
          <w:lang w:val="en-US" w:eastAsia="zh-CN"/>
        </w:rPr>
        <w:t>3.3.3主要生产设备</w:t>
      </w:r>
      <w:bookmarkEnd w:id="16"/>
    </w:p>
    <w:p>
      <w:pPr>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本项目主要生产设备见表</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p>
    <w:p>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3</w:t>
      </w:r>
      <w:r>
        <w:rPr>
          <w:rFonts w:hint="default"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3</w:t>
      </w:r>
      <w:r>
        <w:rPr>
          <w:rFonts w:hint="default" w:ascii="Times New Roman" w:hAnsi="Times New Roman" w:eastAsia="宋体" w:cs="Times New Roman"/>
          <w:b/>
          <w:color w:val="auto"/>
          <w:szCs w:val="21"/>
        </w:rPr>
        <w:t>-</w:t>
      </w:r>
      <w:r>
        <w:rPr>
          <w:rFonts w:hint="default" w:ascii="Times New Roman" w:hAnsi="Times New Roman" w:eastAsia="宋体" w:cs="Times New Roman"/>
          <w:b/>
          <w:color w:val="auto"/>
          <w:szCs w:val="21"/>
          <w:lang w:val="en-US" w:eastAsia="zh-CN"/>
        </w:rPr>
        <w:t>3</w:t>
      </w:r>
      <w:r>
        <w:rPr>
          <w:rFonts w:hint="eastAsia" w:ascii="Times New Roman" w:hAnsi="Times New Roman" w:eastAsia="宋体" w:cs="Times New Roman"/>
          <w:b/>
          <w:color w:val="auto"/>
          <w:szCs w:val="21"/>
          <w:lang w:val="en-US" w:eastAsia="zh-CN"/>
        </w:rPr>
        <w:t xml:space="preserve">  </w:t>
      </w:r>
      <w:r>
        <w:rPr>
          <w:rFonts w:hint="default" w:ascii="Times New Roman" w:hAnsi="Times New Roman" w:eastAsia="宋体" w:cs="Times New Roman"/>
          <w:b/>
          <w:color w:val="auto"/>
          <w:szCs w:val="21"/>
        </w:rPr>
        <w:t>主要生产设备一览表</w:t>
      </w:r>
    </w:p>
    <w:tbl>
      <w:tblPr>
        <w:tblStyle w:val="29"/>
        <w:tblW w:w="46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15" w:type="dxa"/>
          <w:left w:w="15" w:type="dxa"/>
          <w:bottom w:w="15" w:type="dxa"/>
          <w:right w:w="15" w:type="dxa"/>
        </w:tblCellMar>
      </w:tblPr>
      <w:tblGrid>
        <w:gridCol w:w="578"/>
        <w:gridCol w:w="1287"/>
        <w:gridCol w:w="2818"/>
        <w:gridCol w:w="1592"/>
        <w:gridCol w:w="795"/>
        <w:gridCol w:w="793"/>
        <w:gridCol w:w="7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564"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Cs w:val="21"/>
                <w:lang w:bidi="ar"/>
              </w:rPr>
              <w:t>序号</w:t>
            </w:r>
          </w:p>
        </w:tc>
        <w:tc>
          <w:tcPr>
            <w:tcW w:w="743"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设备名称</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规格型号</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设计参数</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单位</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b/>
                <w:bCs/>
                <w:color w:val="auto"/>
                <w:szCs w:val="21"/>
              </w:rPr>
            </w:pPr>
            <w:r>
              <w:rPr>
                <w:rFonts w:hint="eastAsia" w:ascii="Times New Roman" w:hAnsi="Times New Roman" w:eastAsia="宋体" w:cs="Times New Roman"/>
                <w:b/>
                <w:bCs/>
                <w:color w:val="auto"/>
                <w:kern w:val="0"/>
                <w:szCs w:val="21"/>
                <w:lang w:eastAsia="zh-CN" w:bidi="ar"/>
              </w:rPr>
              <w:t>环评</w:t>
            </w:r>
            <w:r>
              <w:rPr>
                <w:rFonts w:hint="default" w:ascii="Times New Roman" w:hAnsi="Times New Roman" w:eastAsia="宋体" w:cs="Times New Roman"/>
                <w:b/>
                <w:bCs/>
                <w:color w:val="auto"/>
                <w:kern w:val="0"/>
                <w:szCs w:val="21"/>
                <w:lang w:bidi="ar"/>
              </w:rPr>
              <w:t>数量</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b/>
                <w:bCs/>
                <w:color w:val="auto"/>
                <w:kern w:val="0"/>
                <w:szCs w:val="21"/>
                <w:lang w:eastAsia="zh-CN" w:bidi="ar"/>
              </w:rPr>
            </w:pPr>
            <w:r>
              <w:rPr>
                <w:rFonts w:hint="eastAsia" w:ascii="Times New Roman" w:hAnsi="Times New Roman" w:eastAsia="宋体" w:cs="Times New Roman"/>
                <w:b/>
                <w:bCs/>
                <w:color w:val="auto"/>
                <w:kern w:val="0"/>
                <w:szCs w:val="21"/>
                <w:lang w:eastAsia="zh-CN" w:bidi="ar"/>
              </w:rPr>
              <w:t>实际数量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1</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全自动喂料机</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PD-90</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550"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2</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挤出机</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单螺旋，主机螺杆直径Φ230mm，长径比为1</w:t>
            </w:r>
            <w:r>
              <w:rPr>
                <w:rFonts w:hint="default" w:ascii="Times New Roman" w:hAnsi="Times New Roman" w:eastAsia="宋体" w:cs="Times New Roman"/>
                <w:color w:val="auto"/>
                <w:szCs w:val="21"/>
                <w:lang w:val="en-US" w:eastAsia="zh-CN"/>
              </w:rPr>
              <w:t>6</w:t>
            </w:r>
            <w:r>
              <w:rPr>
                <w:rFonts w:hint="default" w:ascii="Times New Roman" w:hAnsi="Times New Roman" w:eastAsia="宋体" w:cs="Times New Roman"/>
                <w:color w:val="auto"/>
                <w:szCs w:val="21"/>
              </w:rPr>
              <w:t>，转速400转/min</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挤出能力380kg/h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3</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冷却水槽</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8.0m×0.</w:t>
            </w:r>
            <w:r>
              <w:rPr>
                <w:rFonts w:hint="default" w:ascii="Times New Roman" w:hAnsi="Times New Roman" w:eastAsia="宋体" w:cs="Times New Roman"/>
                <w:color w:val="auto"/>
                <w:kern w:val="0"/>
                <w:szCs w:val="21"/>
                <w:lang w:val="en-US" w:eastAsia="zh-CN" w:bidi="ar"/>
              </w:rPr>
              <w:t>4</w:t>
            </w:r>
            <w:r>
              <w:rPr>
                <w:rFonts w:hint="default" w:ascii="Times New Roman" w:hAnsi="Times New Roman" w:eastAsia="宋体" w:cs="Times New Roman"/>
                <w:color w:val="auto"/>
                <w:kern w:val="0"/>
                <w:szCs w:val="21"/>
                <w:lang w:bidi="ar"/>
              </w:rPr>
              <w:t>m×0.4m</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容积1.28m</w:t>
            </w:r>
            <w:r>
              <w:rPr>
                <w:rFonts w:hint="default" w:ascii="Times New Roman" w:hAnsi="Times New Roman" w:eastAsia="宋体" w:cs="Times New Roman"/>
                <w:color w:val="auto"/>
                <w:szCs w:val="21"/>
                <w:vertAlign w:val="superscript"/>
                <w:lang w:val="en-US" w:eastAsia="zh-CN"/>
              </w:rPr>
              <w:t>3</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个</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4</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切粒机</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LQ-300</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szCs w:val="21"/>
              </w:rPr>
              <w:t>最大产量400kg/h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80"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5</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料筒</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rPr>
              <w:t>2t</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Φ=1200mm</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6</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包装机</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DXD-250</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Cs w:val="21"/>
                <w:lang w:val="en-US" w:eastAsia="zh-CN"/>
              </w:rPr>
              <w:t>5-50kg</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eastAsia="宋体" w:cs="Times New Roman"/>
                <w:color w:val="auto"/>
                <w:kern w:val="0"/>
                <w:szCs w:val="21"/>
                <w:lang w:val="en-US" w:eastAsia="zh-CN"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7</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叉车</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NOBLELIFT/诺力</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2.5-3.0t</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辆</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eastAsia="宋体" w:cs="Times New Roman"/>
                <w:color w:val="auto"/>
                <w:kern w:val="0"/>
                <w:szCs w:val="21"/>
                <w:lang w:val="en-US" w:eastAsia="zh-CN" w:bidi="ar"/>
              </w:rPr>
              <w:t>2</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466"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8</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废气处理装置</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套</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3</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549" w:hRule="atLeast"/>
          <w:jc w:val="center"/>
        </w:trPr>
        <w:tc>
          <w:tcPr>
            <w:tcW w:w="334"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9</w:t>
            </w:r>
          </w:p>
        </w:tc>
        <w:tc>
          <w:tcPr>
            <w:tcW w:w="743" w:type="pct"/>
            <w:tcBorders>
              <w:tl2br w:val="nil"/>
              <w:tr2bl w:val="nil"/>
            </w:tcBorders>
            <w:noWrap w:val="0"/>
            <w:vAlign w:val="center"/>
          </w:tcPr>
          <w:p>
            <w:pPr>
              <w:widowControl/>
              <w:adjustRightInd w:val="0"/>
              <w:snapToGrid w:val="0"/>
              <w:spacing w:line="240" w:lineRule="auto"/>
              <w:jc w:val="center"/>
              <w:textAlignment w:val="top"/>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风机</w:t>
            </w:r>
          </w:p>
        </w:tc>
        <w:tc>
          <w:tcPr>
            <w:tcW w:w="1627"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w:t>
            </w:r>
          </w:p>
        </w:tc>
        <w:tc>
          <w:tcPr>
            <w:tcW w:w="91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风机风量为</w:t>
            </w:r>
            <w:r>
              <w:rPr>
                <w:rFonts w:hint="default" w:ascii="Times New Roman" w:hAnsi="Times New Roman" w:eastAsia="宋体" w:cs="Times New Roman"/>
                <w:color w:val="auto"/>
                <w:kern w:val="0"/>
                <w:szCs w:val="21"/>
                <w:lang w:val="en-US" w:eastAsia="zh-CN" w:bidi="ar"/>
              </w:rPr>
              <w:t>3</w:t>
            </w:r>
            <w:r>
              <w:rPr>
                <w:rFonts w:hint="default" w:ascii="Times New Roman" w:hAnsi="Times New Roman" w:eastAsia="宋体" w:cs="Times New Roman"/>
                <w:color w:val="auto"/>
                <w:kern w:val="0"/>
                <w:szCs w:val="21"/>
                <w:lang w:bidi="ar"/>
              </w:rPr>
              <w:t>000m</w:t>
            </w:r>
            <w:r>
              <w:rPr>
                <w:rFonts w:hint="default" w:ascii="Times New Roman" w:hAnsi="Times New Roman" w:eastAsia="宋体" w:cs="Times New Roman"/>
                <w:color w:val="auto"/>
                <w:kern w:val="0"/>
                <w:szCs w:val="21"/>
                <w:vertAlign w:val="superscript"/>
                <w:lang w:bidi="ar"/>
              </w:rPr>
              <w:t>3</w:t>
            </w:r>
            <w:r>
              <w:rPr>
                <w:rFonts w:hint="default" w:ascii="Times New Roman" w:hAnsi="Times New Roman" w:eastAsia="宋体" w:cs="Times New Roman"/>
                <w:color w:val="auto"/>
                <w:kern w:val="0"/>
                <w:szCs w:val="21"/>
                <w:lang w:bidi="ar"/>
              </w:rPr>
              <w:t>/h</w:t>
            </w:r>
          </w:p>
        </w:tc>
        <w:tc>
          <w:tcPr>
            <w:tcW w:w="459"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台</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eastAsia="zh-CN" w:bidi="ar"/>
              </w:rPr>
            </w:pPr>
            <w:r>
              <w:rPr>
                <w:rFonts w:hint="eastAsia" w:ascii="Times New Roman" w:hAnsi="Times New Roman" w:eastAsia="宋体" w:cs="Times New Roman"/>
                <w:color w:val="auto"/>
                <w:kern w:val="0"/>
                <w:szCs w:val="21"/>
                <w:lang w:val="en-US" w:eastAsia="zh-CN" w:bidi="ar"/>
              </w:rPr>
              <w:t>6</w:t>
            </w:r>
          </w:p>
        </w:tc>
        <w:tc>
          <w:tcPr>
            <w:tcW w:w="458" w:type="pct"/>
            <w:tcBorders>
              <w:tl2br w:val="nil"/>
              <w:tr2bl w:val="nil"/>
            </w:tcBorders>
            <w:noWrap w:val="0"/>
            <w:vAlign w:val="center"/>
          </w:tcPr>
          <w:p>
            <w:pPr>
              <w:widowControl/>
              <w:adjustRightInd w:val="0"/>
              <w:snapToGrid w:val="0"/>
              <w:spacing w:line="240" w:lineRule="auto"/>
              <w:jc w:val="center"/>
              <w:textAlignment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1</w:t>
            </w:r>
          </w:p>
        </w:tc>
      </w:tr>
    </w:tbl>
    <w:p>
      <w:pPr>
        <w:keepNext/>
        <w:keepLines/>
        <w:pageBreakBefore w:val="0"/>
        <w:widowControl w:val="0"/>
        <w:kinsoku/>
        <w:wordWrap/>
        <w:overflowPunct/>
        <w:topLinePunct w:val="0"/>
        <w:autoSpaceDE/>
        <w:autoSpaceDN/>
        <w:bidi w:val="0"/>
        <w:adjustRightInd/>
        <w:snapToGrid/>
        <w:spacing w:before="0" w:after="0" w:line="360" w:lineRule="auto"/>
        <w:textAlignment w:val="auto"/>
        <w:outlineLvl w:val="9"/>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备注：实际建成1条生产线。</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7" w:name="_Toc1450"/>
      <w:r>
        <w:rPr>
          <w:rFonts w:hint="eastAsia" w:ascii="Times New Roman" w:hAnsi="Times New Roman" w:eastAsia="宋体"/>
          <w:color w:val="auto"/>
        </w:rPr>
        <w:t>3</w:t>
      </w:r>
      <w:r>
        <w:rPr>
          <w:rFonts w:ascii="Times New Roman" w:hAnsi="Times New Roman" w:eastAsia="宋体"/>
          <w:color w:val="auto"/>
        </w:rPr>
        <w:t>.</w:t>
      </w:r>
      <w:r>
        <w:rPr>
          <w:rFonts w:hint="eastAsia" w:ascii="Times New Roman" w:hAnsi="Times New Roman" w:eastAsia="宋体"/>
          <w:color w:val="auto"/>
          <w:lang w:val="en-US" w:eastAsia="zh-CN"/>
        </w:rPr>
        <w:t>4</w:t>
      </w:r>
      <w:r>
        <w:rPr>
          <w:rFonts w:hint="eastAsia" w:ascii="Times New Roman" w:hAnsi="Times New Roman" w:eastAsia="宋体"/>
          <w:color w:val="auto"/>
        </w:rPr>
        <w:t>水源及水平衡</w:t>
      </w:r>
      <w:bookmarkEnd w:id="17"/>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给排水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项目</w:t>
      </w:r>
      <w:r>
        <w:rPr>
          <w:rFonts w:hint="default" w:ascii="Times New Roman" w:hAnsi="Times New Roman" w:eastAsia="宋体" w:cs="Times New Roman"/>
          <w:color w:val="auto"/>
          <w:sz w:val="24"/>
        </w:rPr>
        <w:t>用水主要包括冷却水槽用水及员工生活用水、保洁用水等，新鲜水总用水量</w:t>
      </w:r>
      <w:r>
        <w:rPr>
          <w:rFonts w:hint="eastAsia" w:ascii="Times New Roman" w:hAnsi="Times New Roman" w:eastAsia="宋体" w:cs="Times New Roman"/>
          <w:color w:val="auto"/>
          <w:sz w:val="24"/>
          <w:lang w:val="en-US" w:eastAsia="zh-CN"/>
        </w:rPr>
        <w:t>169.56</w:t>
      </w:r>
      <w:r>
        <w:rPr>
          <w:rFonts w:hint="default" w:ascii="Times New Roman" w:hAnsi="Times New Roman" w:eastAsia="宋体" w:cs="Times New Roman"/>
          <w:color w:val="auto"/>
          <w:sz w:val="24"/>
        </w:rPr>
        <w:t>t/a。具体如下：</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fldChar w:fldCharType="begin"/>
      </w:r>
      <w:r>
        <w:rPr>
          <w:rFonts w:hint="default" w:ascii="Times New Roman" w:hAnsi="Times New Roman" w:eastAsia="宋体" w:cs="Times New Roman"/>
          <w:b w:val="0"/>
          <w:bCs w:val="0"/>
          <w:color w:val="auto"/>
          <w:sz w:val="24"/>
        </w:rPr>
        <w:instrText xml:space="preserve"> = 1 \* GB3 \* MERGEFORMAT </w:instrText>
      </w:r>
      <w:r>
        <w:rPr>
          <w:rFonts w:hint="default" w:ascii="Times New Roman" w:hAnsi="Times New Roman" w:eastAsia="宋体" w:cs="Times New Roman"/>
          <w:b w:val="0"/>
          <w:bCs w:val="0"/>
          <w:color w:val="auto"/>
          <w:sz w:val="24"/>
        </w:rPr>
        <w:fldChar w:fldCharType="separate"/>
      </w:r>
      <w:r>
        <w:rPr>
          <w:rFonts w:hint="default" w:ascii="Times New Roman" w:hAnsi="Times New Roman" w:eastAsia="宋体" w:cs="Times New Roman"/>
          <w:b w:val="0"/>
          <w:bCs w:val="0"/>
          <w:color w:val="auto"/>
        </w:rPr>
        <w:t>①</w:t>
      </w:r>
      <w:r>
        <w:rPr>
          <w:rFonts w:hint="default" w:ascii="Times New Roman" w:hAnsi="Times New Roman" w:eastAsia="宋体" w:cs="Times New Roman"/>
          <w:b w:val="0"/>
          <w:bCs w:val="0"/>
          <w:color w:val="auto"/>
          <w:sz w:val="24"/>
        </w:rPr>
        <w:fldChar w:fldCharType="end"/>
      </w:r>
      <w:r>
        <w:rPr>
          <w:rFonts w:hint="default" w:ascii="Times New Roman" w:hAnsi="Times New Roman" w:eastAsia="宋体" w:cs="Times New Roman"/>
          <w:b w:val="0"/>
          <w:bCs w:val="0"/>
          <w:color w:val="auto"/>
          <w:sz w:val="24"/>
        </w:rPr>
        <w:t>冷却水槽用水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Times New Roman"/>
          <w:b/>
          <w:bCs/>
          <w:color w:val="auto"/>
          <w:sz w:val="24"/>
          <w:lang w:val="en-US" w:eastAsia="zh-CN"/>
        </w:rPr>
      </w:pPr>
      <w:r>
        <w:rPr>
          <w:rFonts w:hint="default" w:ascii="Times New Roman" w:hAnsi="Times New Roman" w:eastAsia="宋体" w:cs="Times New Roman"/>
          <w:color w:val="auto"/>
          <w:sz w:val="24"/>
        </w:rPr>
        <w:t>项目</w:t>
      </w:r>
      <w:r>
        <w:rPr>
          <w:rFonts w:hint="eastAsia" w:ascii="Times New Roman" w:hAnsi="Times New Roman" w:eastAsia="宋体" w:cs="Times New Roman"/>
          <w:color w:val="auto"/>
          <w:sz w:val="24"/>
          <w:lang w:eastAsia="zh-CN"/>
        </w:rPr>
        <w:t>建设</w:t>
      </w:r>
      <w:r>
        <w:rPr>
          <w:rFonts w:hint="default" w:ascii="Times New Roman" w:hAnsi="Times New Roman" w:eastAsia="宋体" w:cs="Times New Roman"/>
          <w:color w:val="auto"/>
          <w:sz w:val="24"/>
        </w:rPr>
        <w:t>生产线</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条，生产线配置1个冷却水槽，大小为L8.0m×W0.4m×H0.4m，容积约1.28m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。经企业核实，冷却水槽内约盛装90%的水量，水槽盛水量为1.152m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，冷却水槽内冷却水经</w:t>
      </w:r>
      <w:r>
        <w:rPr>
          <w:rFonts w:hint="default" w:ascii="Times New Roman" w:hAnsi="Times New Roman" w:eastAsia="宋体" w:cs="Times New Roman"/>
          <w:color w:val="auto"/>
          <w:sz w:val="24"/>
          <w:lang w:eastAsia="zh-CN"/>
        </w:rPr>
        <w:t>车间东北侧</w:t>
      </w:r>
      <w:r>
        <w:rPr>
          <w:rFonts w:hint="default" w:ascii="Times New Roman" w:hAnsi="Times New Roman" w:eastAsia="宋体" w:cs="Times New Roman"/>
          <w:color w:val="auto"/>
          <w:sz w:val="24"/>
        </w:rPr>
        <w:t>配套</w:t>
      </w:r>
      <w:r>
        <w:rPr>
          <w:rFonts w:hint="default" w:ascii="Times New Roman" w:hAnsi="Times New Roman" w:eastAsia="宋体" w:cs="Times New Roman"/>
          <w:color w:val="auto"/>
          <w:sz w:val="24"/>
          <w:lang w:eastAsia="zh-CN"/>
        </w:rPr>
        <w:t>的</w:t>
      </w:r>
      <w:r>
        <w:rPr>
          <w:rFonts w:hint="default" w:ascii="Times New Roman" w:hAnsi="Times New Roman" w:eastAsia="宋体" w:cs="Times New Roman"/>
          <w:color w:val="auto"/>
          <w:sz w:val="24"/>
        </w:rPr>
        <w:t>冷却水池</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1个，4.0m×3.4m×2.5m</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循环使用，不外排；考虑到蒸发损耗等，冷却水槽每天补水量按水槽内盛水量的10%计，则补水量为</w:t>
      </w:r>
      <w:r>
        <w:rPr>
          <w:rFonts w:hint="eastAsia" w:ascii="Times New Roman" w:hAnsi="Times New Roman" w:eastAsia="宋体" w:cs="Times New Roman"/>
          <w:color w:val="auto"/>
          <w:sz w:val="24"/>
          <w:lang w:val="en-US" w:eastAsia="zh-CN"/>
        </w:rPr>
        <w:t>0.1152</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/d，也即</w:t>
      </w:r>
      <w:r>
        <w:rPr>
          <w:rFonts w:hint="eastAsia" w:ascii="Times New Roman" w:hAnsi="Times New Roman" w:eastAsia="宋体" w:cs="Times New Roman"/>
          <w:color w:val="auto"/>
          <w:sz w:val="24"/>
          <w:lang w:val="en-US" w:eastAsia="zh-CN"/>
        </w:rPr>
        <w:t>34.56</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a</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fldChar w:fldCharType="begin"/>
      </w:r>
      <w:r>
        <w:rPr>
          <w:rFonts w:hint="default" w:ascii="Times New Roman" w:hAnsi="Times New Roman" w:eastAsia="宋体" w:cs="Times New Roman"/>
          <w:b w:val="0"/>
          <w:bCs w:val="0"/>
          <w:color w:val="auto"/>
          <w:sz w:val="24"/>
        </w:rPr>
        <w:instrText xml:space="preserve"> = 2 \* GB3 \* MERGEFORMAT </w:instrText>
      </w:r>
      <w:r>
        <w:rPr>
          <w:rFonts w:hint="default" w:ascii="Times New Roman" w:hAnsi="Times New Roman" w:eastAsia="宋体" w:cs="Times New Roman"/>
          <w:b w:val="0"/>
          <w:bCs w:val="0"/>
          <w:color w:val="auto"/>
          <w:sz w:val="24"/>
        </w:rPr>
        <w:fldChar w:fldCharType="separate"/>
      </w:r>
      <w:r>
        <w:rPr>
          <w:rFonts w:hint="default" w:ascii="Times New Roman" w:hAnsi="Times New Roman" w:eastAsia="宋体" w:cs="Times New Roman"/>
          <w:b w:val="0"/>
          <w:bCs w:val="0"/>
          <w:color w:val="auto"/>
        </w:rPr>
        <w:t>②</w:t>
      </w:r>
      <w:r>
        <w:rPr>
          <w:rFonts w:hint="default" w:ascii="Times New Roman" w:hAnsi="Times New Roman" w:eastAsia="宋体" w:cs="Times New Roman"/>
          <w:b w:val="0"/>
          <w:bCs w:val="0"/>
          <w:color w:val="auto"/>
          <w:sz w:val="24"/>
        </w:rPr>
        <w:fldChar w:fldCharType="end"/>
      </w:r>
      <w:r>
        <w:rPr>
          <w:rFonts w:hint="default" w:ascii="Times New Roman" w:hAnsi="Times New Roman" w:eastAsia="宋体" w:cs="Times New Roman"/>
          <w:b w:val="0"/>
          <w:bCs w:val="0"/>
          <w:color w:val="auto"/>
          <w:sz w:val="24"/>
        </w:rPr>
        <w:t>保洁用水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sz w:val="24"/>
        </w:rPr>
      </w:pPr>
      <w:r>
        <w:rPr>
          <w:rFonts w:hint="default" w:ascii="Times New Roman" w:hAnsi="Times New Roman" w:eastAsia="宋体" w:cs="Times New Roman"/>
          <w:color w:val="auto"/>
          <w:sz w:val="24"/>
        </w:rPr>
        <w:t>项目厂区</w:t>
      </w:r>
      <w:r>
        <w:rPr>
          <w:rFonts w:hint="default" w:ascii="Times New Roman" w:hAnsi="Times New Roman" w:eastAsia="宋体" w:cs="Times New Roman"/>
          <w:bCs/>
          <w:color w:val="auto"/>
          <w:sz w:val="24"/>
        </w:rPr>
        <w:t>车间需保持干净、整洁以及相对干燥环境等，车间采用扫把清扫；办公区采用清扫加拖把托扫的方式进行清洁。</w:t>
      </w:r>
      <w:r>
        <w:rPr>
          <w:rFonts w:hint="default" w:ascii="Times New Roman" w:hAnsi="Times New Roman" w:eastAsia="宋体" w:cs="Times New Roman"/>
          <w:color w:val="auto"/>
          <w:sz w:val="24"/>
        </w:rPr>
        <w:t>本项目办公区需保洁面积约100m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。根据《安徽省行业用水定额》（DB 34T 679-2014），</w:t>
      </w:r>
      <w:r>
        <w:rPr>
          <w:rFonts w:hint="default" w:ascii="Times New Roman" w:hAnsi="Times New Roman" w:eastAsia="宋体" w:cs="Times New Roman"/>
          <w:snapToGrid w:val="0"/>
          <w:color w:val="auto"/>
          <w:kern w:val="0"/>
          <w:sz w:val="24"/>
        </w:rPr>
        <w:t>保洁用水按0.5L/（m</w:t>
      </w:r>
      <w:r>
        <w:rPr>
          <w:rFonts w:hint="default" w:ascii="Times New Roman" w:hAnsi="Times New Roman" w:eastAsia="宋体" w:cs="Times New Roman"/>
          <w:snapToGrid w:val="0"/>
          <w:color w:val="auto"/>
          <w:kern w:val="0"/>
          <w:sz w:val="24"/>
          <w:vertAlign w:val="superscript"/>
        </w:rPr>
        <w:t>2</w:t>
      </w:r>
      <w:r>
        <w:rPr>
          <w:rFonts w:hint="default" w:ascii="Times New Roman" w:hAnsi="Times New Roman" w:eastAsia="宋体" w:cs="Times New Roman"/>
          <w:snapToGrid w:val="0"/>
          <w:color w:val="auto"/>
          <w:kern w:val="0"/>
          <w:sz w:val="24"/>
        </w:rPr>
        <w:t>/d）计，则保洁用水量约0.05</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snapToGrid w:val="0"/>
          <w:color w:val="auto"/>
          <w:kern w:val="0"/>
          <w:sz w:val="24"/>
        </w:rPr>
        <w:t>/d，也即保洁用水</w:t>
      </w:r>
      <w:r>
        <w:rPr>
          <w:rFonts w:hint="default" w:ascii="Times New Roman" w:hAnsi="Times New Roman" w:eastAsia="宋体" w:cs="Times New Roman"/>
          <w:snapToGrid w:val="0"/>
          <w:kern w:val="0"/>
          <w:sz w:val="24"/>
        </w:rPr>
        <w:t>量为15</w:t>
      </w:r>
      <w:r>
        <w:rPr>
          <w:rFonts w:hint="default" w:ascii="Times New Roman" w:hAnsi="Times New Roman" w:eastAsia="宋体" w:cs="Times New Roman"/>
          <w:bCs/>
          <w:sz w:val="24"/>
        </w:rPr>
        <w:t>m</w:t>
      </w:r>
      <w:r>
        <w:rPr>
          <w:rFonts w:hint="default" w:ascii="Times New Roman" w:hAnsi="Times New Roman" w:eastAsia="宋体" w:cs="Times New Roman"/>
          <w:bCs/>
          <w:sz w:val="24"/>
          <w:vertAlign w:val="superscript"/>
        </w:rPr>
        <w:t>3</w:t>
      </w:r>
      <w:r>
        <w:rPr>
          <w:rFonts w:hint="default" w:ascii="Times New Roman" w:hAnsi="Times New Roman" w:eastAsia="宋体" w:cs="Times New Roman"/>
          <w:snapToGrid w:val="0"/>
          <w:kern w:val="0"/>
          <w:sz w:val="24"/>
        </w:rPr>
        <w:t>/a；</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sz w:val="24"/>
        </w:rPr>
      </w:pPr>
      <w:r>
        <w:rPr>
          <w:rFonts w:hint="default" w:ascii="Times New Roman" w:hAnsi="Times New Roman" w:eastAsia="宋体" w:cs="Times New Roman"/>
          <w:b w:val="0"/>
          <w:bCs w:val="0"/>
          <w:sz w:val="24"/>
        </w:rPr>
        <w:fldChar w:fldCharType="begin"/>
      </w:r>
      <w:r>
        <w:rPr>
          <w:rFonts w:hint="default" w:ascii="Times New Roman" w:hAnsi="Times New Roman" w:eastAsia="宋体" w:cs="Times New Roman"/>
          <w:b w:val="0"/>
          <w:bCs w:val="0"/>
          <w:sz w:val="24"/>
        </w:rPr>
        <w:instrText xml:space="preserve"> = 3 \* GB3 \* MERGEFORMAT </w:instrText>
      </w:r>
      <w:r>
        <w:rPr>
          <w:rFonts w:hint="default" w:ascii="Times New Roman" w:hAnsi="Times New Roman" w:eastAsia="宋体" w:cs="Times New Roman"/>
          <w:b w:val="0"/>
          <w:bCs w:val="0"/>
          <w:sz w:val="24"/>
        </w:rPr>
        <w:fldChar w:fldCharType="separate"/>
      </w:r>
      <w:r>
        <w:rPr>
          <w:rFonts w:hint="default" w:ascii="Times New Roman" w:hAnsi="Times New Roman" w:eastAsia="宋体" w:cs="Times New Roman"/>
          <w:b w:val="0"/>
          <w:bCs w:val="0"/>
        </w:rPr>
        <w:t>③</w:t>
      </w:r>
      <w:r>
        <w:rPr>
          <w:rFonts w:hint="default" w:ascii="Times New Roman" w:hAnsi="Times New Roman" w:eastAsia="宋体" w:cs="Times New Roman"/>
          <w:b w:val="0"/>
          <w:bCs w:val="0"/>
          <w:sz w:val="24"/>
        </w:rPr>
        <w:fldChar w:fldCharType="end"/>
      </w:r>
      <w:r>
        <w:rPr>
          <w:rFonts w:hint="default" w:ascii="Times New Roman" w:hAnsi="Times New Roman" w:eastAsia="宋体" w:cs="Times New Roman"/>
          <w:b w:val="0"/>
          <w:bCs w:val="0"/>
          <w:sz w:val="24"/>
        </w:rPr>
        <w:t>生活用水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szCs w:val="21"/>
        </w:rPr>
      </w:pPr>
      <w:r>
        <w:rPr>
          <w:rFonts w:hint="default" w:ascii="Times New Roman" w:hAnsi="Times New Roman" w:eastAsia="宋体" w:cs="Times New Roman"/>
          <w:sz w:val="24"/>
          <w:szCs w:val="28"/>
        </w:rPr>
        <w:t>根据企业提供资料，项目</w:t>
      </w:r>
      <w:r>
        <w:rPr>
          <w:rFonts w:hint="eastAsia" w:ascii="Times New Roman" w:hAnsi="Times New Roman" w:eastAsia="宋体" w:cs="Times New Roman"/>
          <w:sz w:val="24"/>
          <w:szCs w:val="28"/>
          <w:lang w:eastAsia="zh-CN"/>
        </w:rPr>
        <w:t>实际</w:t>
      </w:r>
      <w:r>
        <w:rPr>
          <w:rFonts w:hint="default" w:ascii="Times New Roman" w:hAnsi="Times New Roman" w:eastAsia="宋体" w:cs="Times New Roman"/>
          <w:sz w:val="24"/>
          <w:szCs w:val="28"/>
        </w:rPr>
        <w:t>劳动定员</w:t>
      </w:r>
      <w:r>
        <w:rPr>
          <w:rFonts w:hint="eastAsia" w:ascii="Times New Roman" w:hAnsi="Times New Roman" w:eastAsia="宋体" w:cs="Times New Roman"/>
          <w:sz w:val="24"/>
          <w:szCs w:val="28"/>
          <w:lang w:val="en-US" w:eastAsia="zh-CN"/>
        </w:rPr>
        <w:t>1</w:t>
      </w:r>
      <w:r>
        <w:rPr>
          <w:rFonts w:hint="default" w:ascii="Times New Roman" w:hAnsi="Times New Roman" w:eastAsia="宋体" w:cs="Times New Roman"/>
          <w:sz w:val="24"/>
          <w:szCs w:val="28"/>
        </w:rPr>
        <w:t>0人，均不在厂内食宿，参照《建筑给水排水设计规范</w:t>
      </w:r>
      <w:r>
        <w:rPr>
          <w:rFonts w:hint="default" w:ascii="Times New Roman" w:hAnsi="Times New Roman" w:eastAsia="宋体" w:cs="Times New Roman"/>
          <w:bCs/>
          <w:sz w:val="24"/>
        </w:rPr>
        <w:t>》（GB50015-2009）中相关用水标准按每天40L/(人·d)/计</w:t>
      </w:r>
      <w:r>
        <w:rPr>
          <w:rFonts w:hint="default" w:ascii="Times New Roman" w:hAnsi="Times New Roman" w:eastAsia="宋体" w:cs="Times New Roman"/>
          <w:sz w:val="24"/>
          <w:szCs w:val="28"/>
        </w:rPr>
        <w:t>，则生活用水量为</w:t>
      </w:r>
      <w:r>
        <w:rPr>
          <w:rFonts w:hint="eastAsia" w:ascii="Times New Roman" w:hAnsi="Times New Roman" w:eastAsia="宋体" w:cs="Times New Roman"/>
          <w:sz w:val="24"/>
          <w:szCs w:val="28"/>
          <w:lang w:val="en-US" w:eastAsia="zh-CN"/>
        </w:rPr>
        <w:t>120</w:t>
      </w:r>
      <w:r>
        <w:rPr>
          <w:rFonts w:hint="default" w:ascii="Times New Roman" w:hAnsi="Times New Roman" w:eastAsia="宋体" w:cs="Times New Roman"/>
          <w:sz w:val="24"/>
          <w:szCs w:val="28"/>
        </w:rPr>
        <w:t>t/a（0.</w:t>
      </w:r>
      <w:r>
        <w:rPr>
          <w:rFonts w:hint="eastAsia" w:ascii="Times New Roman" w:hAnsi="Times New Roman" w:eastAsia="宋体" w:cs="Times New Roman"/>
          <w:sz w:val="24"/>
          <w:szCs w:val="28"/>
          <w:lang w:val="en-US" w:eastAsia="zh-CN"/>
        </w:rPr>
        <w:t>4</w:t>
      </w:r>
      <w:r>
        <w:rPr>
          <w:rFonts w:hint="default" w:ascii="Times New Roman" w:hAnsi="Times New Roman" w:eastAsia="宋体" w:cs="Times New Roman"/>
          <w:sz w:val="24"/>
          <w:szCs w:val="28"/>
        </w:rPr>
        <w:t>t/d）。</w:t>
      </w:r>
    </w:p>
    <w:p>
      <w:pPr>
        <w:keepNext w:val="0"/>
        <w:keepLines w:val="0"/>
        <w:widowControl/>
        <w:suppressLineNumbers w:val="0"/>
        <w:ind w:left="480" w:hanging="480" w:hangingChars="200"/>
        <w:jc w:val="left"/>
        <w:rPr>
          <w:rFonts w:hint="eastAsia" w:ascii="宋体" w:hAnsi="宋体" w:eastAsia="宋体" w:cs="宋体"/>
          <w:color w:val="000000"/>
          <w:kern w:val="0"/>
          <w:sz w:val="24"/>
          <w:szCs w:val="24"/>
          <w:lang w:val="en-US" w:eastAsia="zh-CN" w:bidi="ar"/>
        </w:rPr>
      </w:pPr>
      <w:r>
        <w:rPr>
          <w:rFonts w:hint="default" w:ascii="Times New Roman" w:hAnsi="Times New Roman" w:eastAsia="宋体" w:cs="Times New Roman"/>
          <w:color w:val="auto"/>
          <w:sz w:val="24"/>
          <w:lang w:eastAsia="zh-CN"/>
        </w:rPr>
        <w:t>经企业确认，</w:t>
      </w:r>
      <w:r>
        <w:rPr>
          <w:rFonts w:hint="default" w:ascii="Times New Roman" w:hAnsi="Times New Roman" w:eastAsia="宋体" w:cs="Times New Roman"/>
          <w:color w:val="auto"/>
          <w:sz w:val="24"/>
          <w:highlight w:val="none"/>
        </w:rPr>
        <w:t>项目冷却水槽用水循环使用</w:t>
      </w:r>
      <w:r>
        <w:rPr>
          <w:rFonts w:hint="default" w:ascii="Times New Roman" w:hAnsi="Times New Roman" w:eastAsia="宋体" w:cs="Times New Roman"/>
          <w:color w:val="auto"/>
          <w:sz w:val="24"/>
        </w:rPr>
        <w:t>，</w:t>
      </w:r>
      <w:r>
        <w:rPr>
          <w:rFonts w:hint="default" w:ascii="Times New Roman" w:hAnsi="Times New Roman" w:eastAsia="宋体" w:cs="Times New Roman"/>
          <w:sz w:val="24"/>
        </w:rPr>
        <w:t>不外排</w:t>
      </w:r>
      <w:r>
        <w:rPr>
          <w:rFonts w:hint="eastAsia" w:ascii="Times New Roman" w:hAnsi="Times New Roman" w:eastAsia="宋体" w:cs="Times New Roman"/>
          <w:sz w:val="24"/>
          <w:lang w:eastAsia="zh-CN"/>
        </w:rPr>
        <w:t>；生活污水和地面保洁</w:t>
      </w:r>
      <w:r>
        <w:rPr>
          <w:rFonts w:hint="eastAsia" w:ascii="宋体" w:hAnsi="宋体" w:eastAsia="宋体" w:cs="宋体"/>
          <w:color w:val="000000"/>
          <w:kern w:val="0"/>
          <w:sz w:val="24"/>
          <w:szCs w:val="24"/>
          <w:lang w:val="en-US" w:eastAsia="zh-CN" w:bidi="ar"/>
        </w:rPr>
        <w:t>废水经化粪池</w:t>
      </w:r>
    </w:p>
    <w:p>
      <w:pPr>
        <w:keepNext w:val="0"/>
        <w:keepLines w:val="0"/>
        <w:widowControl/>
        <w:suppressLineNumbers w:val="0"/>
        <w:ind w:left="480" w:hanging="480" w:hangingChars="200"/>
        <w:jc w:val="left"/>
        <w:rPr>
          <w:rFonts w:hint="eastAsia" w:ascii="Times New Roman" w:hAnsi="Times New Roman" w:eastAsia="宋体" w:cs="Times New Roman"/>
          <w:sz w:val="24"/>
          <w:lang w:eastAsia="zh-CN"/>
        </w:rPr>
      </w:pPr>
      <w:r>
        <w:rPr>
          <w:rFonts w:hint="eastAsia" w:ascii="宋体" w:hAnsi="宋体" w:eastAsia="宋体" w:cs="宋体"/>
          <w:color w:val="000000"/>
          <w:kern w:val="0"/>
          <w:sz w:val="24"/>
          <w:szCs w:val="24"/>
          <w:lang w:val="en-US" w:eastAsia="zh-CN" w:bidi="ar"/>
        </w:rPr>
        <w:t>处理后再经厂区一体化污水处理</w:t>
      </w:r>
      <w:r>
        <w:rPr>
          <w:rFonts w:hint="eastAsia" w:ascii="Times New Roman" w:hAnsi="Times New Roman" w:eastAsia="宋体" w:cs="Times New Roman"/>
          <w:sz w:val="24"/>
          <w:lang w:eastAsia="zh-CN"/>
        </w:rPr>
        <w:t>后用于厂区绿化，不外排。</w:t>
      </w:r>
      <w:r>
        <w:rPr>
          <w:rFonts w:hint="default" w:ascii="Times New Roman" w:hAnsi="Times New Roman" w:eastAsia="宋体" w:cs="Times New Roman"/>
          <w:sz w:val="24"/>
        </w:rPr>
        <w:t>因此本项目</w:t>
      </w:r>
      <w:r>
        <w:rPr>
          <w:rFonts w:hint="eastAsia" w:ascii="Times New Roman" w:hAnsi="Times New Roman" w:eastAsia="宋体" w:cs="Times New Roman"/>
          <w:sz w:val="24"/>
          <w:lang w:eastAsia="zh-CN"/>
        </w:rPr>
        <w:t>无废水外排。</w:t>
      </w:r>
    </w:p>
    <w:p>
      <w:pPr>
        <w:pStyle w:val="36"/>
        <w:rPr>
          <w:rFonts w:hint="default" w:ascii="Times New Roman" w:hAnsi="Times New Roman" w:eastAsia="宋体"/>
        </w:rPr>
      </w:pP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9"/>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sz w:val="24"/>
        </w:rPr>
        <w:t>（2）</w:t>
      </w:r>
      <w:r>
        <w:rPr>
          <w:rFonts w:hint="default" w:ascii="Times New Roman" w:hAnsi="Times New Roman" w:eastAsia="宋体" w:cs="Times New Roman"/>
          <w:b w:val="0"/>
          <w:bCs w:val="0"/>
          <w:color w:val="auto"/>
          <w:sz w:val="24"/>
        </w:rPr>
        <w:t>水平衡图</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项目水平衡图如下：</w:t>
      </w:r>
    </w:p>
    <w:p>
      <w:pPr>
        <w:pStyle w:val="9"/>
        <w:keepNext w:val="0"/>
        <w:keepLines w:val="0"/>
        <w:pageBreakBefore w:val="0"/>
        <w:widowControl w:val="0"/>
        <w:kinsoku/>
        <w:wordWrap/>
        <w:overflowPunct/>
        <w:topLinePunct w:val="0"/>
        <w:autoSpaceDE/>
        <w:autoSpaceDN/>
        <w:bidi w:val="0"/>
        <w:adjustRightInd/>
        <w:snapToGrid/>
        <w:spacing w:after="0" w:line="360" w:lineRule="auto"/>
        <w:ind w:left="0" w:firstLine="420" w:firstLineChars="200"/>
        <w:textAlignment w:val="auto"/>
        <w:rPr>
          <w:rFonts w:hint="default" w:ascii="Times New Roman" w:hAnsi="Times New Roman" w:eastAsia="宋体" w:cs="Times New Roman"/>
          <w:b/>
          <w:sz w:val="24"/>
        </w:rPr>
      </w:pPr>
      <w:r>
        <w:drawing>
          <wp:inline distT="0" distB="0" distL="114300" distR="114300">
            <wp:extent cx="5822950" cy="3159125"/>
            <wp:effectExtent l="0" t="0" r="6350" b="317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1"/>
                    <a:stretch>
                      <a:fillRect/>
                    </a:stretch>
                  </pic:blipFill>
                  <pic:spPr>
                    <a:xfrm>
                      <a:off x="0" y="0"/>
                      <a:ext cx="5822950" cy="3159125"/>
                    </a:xfrm>
                    <a:prstGeom prst="rect">
                      <a:avLst/>
                    </a:prstGeom>
                    <a:noFill/>
                    <a:ln>
                      <a:noFill/>
                    </a:ln>
                  </pic:spPr>
                </pic:pic>
              </a:graphicData>
            </a:graphic>
          </wp:inline>
        </w:drawing>
      </w:r>
    </w:p>
    <w:p>
      <w:pPr>
        <w:tabs>
          <w:tab w:val="left" w:pos="1666"/>
        </w:tabs>
        <w:spacing w:before="120" w:beforeLines="50"/>
        <w:jc w:val="center"/>
        <w:textAlignment w:val="baseline"/>
        <w:rPr>
          <w:rFonts w:hint="default" w:ascii="Times New Roman" w:hAnsi="Times New Roman" w:eastAsia="宋体" w:cs="Times New Roman"/>
          <w:bCs/>
          <w:snapToGrid w:val="0"/>
          <w:sz w:val="24"/>
        </w:rPr>
      </w:pPr>
      <w:r>
        <w:rPr>
          <w:rFonts w:hint="default" w:ascii="Times New Roman" w:hAnsi="Times New Roman" w:eastAsia="宋体" w:cs="Times New Roman"/>
          <w:b/>
          <w:sz w:val="24"/>
        </w:rPr>
        <w:t>图</w:t>
      </w:r>
      <w:r>
        <w:rPr>
          <w:rFonts w:hint="eastAsia" w:ascii="Times New Roman" w:hAnsi="Times New Roman" w:eastAsia="宋体" w:cs="Times New Roman"/>
          <w:b/>
          <w:sz w:val="24"/>
          <w:lang w:val="en-US" w:eastAsia="zh-CN"/>
        </w:rPr>
        <w:t xml:space="preserve">3.4-1 </w:t>
      </w:r>
      <w:r>
        <w:rPr>
          <w:rFonts w:hint="default" w:ascii="Times New Roman" w:hAnsi="Times New Roman" w:eastAsia="宋体" w:cs="Times New Roman"/>
          <w:b/>
          <w:sz w:val="24"/>
        </w:rPr>
        <w:t xml:space="preserve"> 水量平衡图</w:t>
      </w:r>
      <w:r>
        <w:rPr>
          <w:rFonts w:hint="default" w:ascii="Times New Roman" w:hAnsi="Times New Roman" w:eastAsia="宋体" w:cs="Times New Roman"/>
          <w:b/>
          <w:szCs w:val="21"/>
        </w:rPr>
        <w:t xml:space="preserve">  单位：t/d</w:t>
      </w:r>
      <w:r>
        <w:rPr>
          <w:rFonts w:hint="default" w:ascii="Times New Roman" w:hAnsi="Times New Roman" w:eastAsia="宋体" w:cs="Times New Roman"/>
          <w:bCs/>
          <w:snapToGrid w:val="0"/>
          <w:sz w:val="24"/>
        </w:rPr>
        <w:t xml:space="preserve">  </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18" w:name="_Toc216"/>
      <w:r>
        <w:rPr>
          <w:rFonts w:ascii="Times New Roman" w:hAnsi="Times New Roman" w:eastAsia="宋体"/>
          <w:color w:val="auto"/>
        </w:rPr>
        <w:t>3.</w:t>
      </w:r>
      <w:r>
        <w:rPr>
          <w:rFonts w:hint="eastAsia" w:ascii="Times New Roman" w:hAnsi="Times New Roman" w:eastAsia="宋体"/>
          <w:color w:val="auto"/>
          <w:lang w:val="en-US" w:eastAsia="zh-CN"/>
        </w:rPr>
        <w:t>5主要</w:t>
      </w:r>
      <w:r>
        <w:rPr>
          <w:rFonts w:ascii="Times New Roman" w:hAnsi="Times New Roman" w:eastAsia="宋体"/>
          <w:color w:val="auto"/>
        </w:rPr>
        <w:t>生产工艺</w:t>
      </w:r>
      <w:bookmarkEnd w:id="18"/>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kern w:val="0"/>
          <w:sz w:val="24"/>
        </w:rPr>
        <w:t>本项目使用的原材料主要来源于</w:t>
      </w:r>
      <w:r>
        <w:rPr>
          <w:rFonts w:hint="default" w:ascii="Times New Roman" w:hAnsi="Times New Roman" w:eastAsia="宋体" w:cs="Times New Roman"/>
          <w:b/>
          <w:bCs/>
          <w:color w:val="auto"/>
          <w:sz w:val="24"/>
        </w:rPr>
        <w:t>周边城市</w:t>
      </w:r>
      <w:r>
        <w:rPr>
          <w:rFonts w:hint="default" w:ascii="Times New Roman" w:hAnsi="Times New Roman" w:eastAsia="宋体" w:cs="Times New Roman"/>
          <w:b/>
          <w:bCs/>
          <w:color w:val="auto"/>
          <w:kern w:val="0"/>
          <w:sz w:val="24"/>
        </w:rPr>
        <w:t>合作厂家经预分拣、破碎、清洗的废</w:t>
      </w:r>
      <w:r>
        <w:rPr>
          <w:rFonts w:hint="default" w:ascii="Times New Roman" w:hAnsi="Times New Roman" w:eastAsia="宋体" w:cs="Times New Roman"/>
          <w:b/>
          <w:bCs/>
          <w:color w:val="auto"/>
          <w:kern w:val="0"/>
          <w:sz w:val="24"/>
          <w:lang w:eastAsia="zh-CN"/>
        </w:rPr>
        <w:t>弃</w:t>
      </w:r>
      <w:r>
        <w:rPr>
          <w:rFonts w:hint="default" w:ascii="Times New Roman" w:hAnsi="Times New Roman" w:eastAsia="宋体" w:cs="Times New Roman"/>
          <w:b/>
          <w:bCs/>
          <w:color w:val="auto"/>
          <w:kern w:val="0"/>
          <w:sz w:val="24"/>
        </w:rPr>
        <w:t>塑料，</w:t>
      </w:r>
      <w:r>
        <w:rPr>
          <w:rFonts w:hint="default" w:ascii="Times New Roman" w:hAnsi="Times New Roman" w:eastAsia="宋体" w:cs="Times New Roman"/>
          <w:b/>
          <w:bCs/>
          <w:color w:val="auto"/>
          <w:sz w:val="24"/>
        </w:rPr>
        <w:t>主要为PE（聚乙烯）、PP（聚丙烯）塑料，不含卤素成分</w:t>
      </w:r>
      <w:r>
        <w:rPr>
          <w:rFonts w:hint="default" w:ascii="Times New Roman" w:hAnsi="Times New Roman" w:eastAsia="宋体" w:cs="Times New Roman"/>
          <w:b/>
          <w:bCs/>
          <w:color w:val="auto"/>
          <w:sz w:val="24"/>
          <w:lang w:eastAsia="zh-CN"/>
        </w:rPr>
        <w:t>；厂区无需破碎处理，直接使用即可</w:t>
      </w: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kern w:val="0"/>
          <w:sz w:val="24"/>
        </w:rPr>
        <w:t>产品再生</w:t>
      </w:r>
      <w:r>
        <w:rPr>
          <w:rFonts w:hint="default" w:ascii="Times New Roman" w:hAnsi="Times New Roman" w:eastAsia="宋体" w:cs="Times New Roman"/>
          <w:b/>
          <w:bCs/>
          <w:color w:val="auto"/>
          <w:sz w:val="24"/>
        </w:rPr>
        <w:t>塑料粒子主要外售给用于下游合作厂家用于制作建筑工地使用的模板等塑料制品，不会外售给作为食品、药品等有卫生要求包装材料厂家。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0"/>
          <w:sz w:val="24"/>
          <w:lang w:eastAsia="zh-CN"/>
        </w:rPr>
      </w:pPr>
      <w:r>
        <w:rPr>
          <w:rFonts w:hint="default" w:ascii="Times New Roman" w:hAnsi="Times New Roman" w:eastAsia="宋体" w:cs="Times New Roman"/>
          <w:color w:val="auto"/>
          <w:kern w:val="0"/>
          <w:sz w:val="24"/>
        </w:rPr>
        <w:t>项目主要进行再生颗粒生产加工，主要包括喂料、熔融挤出、冷却、切粒、包装入库等工序</w:t>
      </w:r>
      <w:r>
        <w:rPr>
          <w:rFonts w:hint="default" w:ascii="Times New Roman" w:hAnsi="Times New Roman" w:eastAsia="宋体" w:cs="Times New Roman"/>
          <w:kern w:val="0"/>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bCs/>
          <w:kern w:val="0"/>
          <w:sz w:val="24"/>
        </w:rPr>
        <w:t>项目产品生产工艺如下：</w:t>
      </w:r>
    </w:p>
    <w:p>
      <w:pPr>
        <w:spacing w:before="120" w:beforeLines="50"/>
        <w:jc w:val="center"/>
        <w:rPr>
          <w:rFonts w:hint="default" w:ascii="Times New Roman" w:hAnsi="Times New Roman" w:eastAsia="宋体" w:cs="Times New Roman"/>
        </w:rPr>
      </w:pPr>
      <w:r>
        <w:rPr>
          <w:rFonts w:ascii="Times New Roman" w:hAnsi="Times New Roman" w:eastAsia="宋体"/>
        </w:rPr>
        <w:drawing>
          <wp:inline distT="0" distB="0" distL="114300" distR="114300">
            <wp:extent cx="4238625" cy="3619500"/>
            <wp:effectExtent l="0" t="0" r="9525"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2"/>
                    <a:stretch>
                      <a:fillRect/>
                    </a:stretch>
                  </pic:blipFill>
                  <pic:spPr>
                    <a:xfrm>
                      <a:off x="0" y="0"/>
                      <a:ext cx="4238625" cy="3619500"/>
                    </a:xfrm>
                    <a:prstGeom prst="rect">
                      <a:avLst/>
                    </a:prstGeom>
                    <a:noFill/>
                    <a:ln>
                      <a:noFill/>
                    </a:ln>
                  </pic:spPr>
                </pic:pic>
              </a:graphicData>
            </a:graphic>
          </wp:inline>
        </w:drawing>
      </w:r>
    </w:p>
    <w:p>
      <w:pPr>
        <w:spacing w:before="120" w:beforeLines="50"/>
        <w:rPr>
          <w:rFonts w:hint="default" w:ascii="Times New Roman" w:hAnsi="Times New Roman" w:eastAsia="宋体" w:cs="Times New Roman"/>
        </w:rPr>
      </w:pPr>
    </w:p>
    <w:p>
      <w:pPr>
        <w:spacing w:line="240" w:lineRule="auto"/>
        <w:rPr>
          <w:rFonts w:hint="default" w:ascii="Times New Roman" w:hAnsi="Times New Roman" w:eastAsia="宋体" w:cs="Times New Roman"/>
        </w:rPr>
      </w:pPr>
      <w:r>
        <w:rPr>
          <w:rFonts w:hint="default" w:ascii="Times New Roman" w:hAnsi="Times New Roman" w:eastAsia="宋体" w:cs="Times New Roman"/>
          <w:b/>
          <w:szCs w:val="21"/>
        </w:rPr>
        <w:t>备注：N—噪声；G—废气；S—固废。</w:t>
      </w:r>
    </w:p>
    <w:p>
      <w:pPr>
        <w:spacing w:before="120" w:beforeLines="50"/>
        <w:jc w:val="center"/>
        <w:rPr>
          <w:rFonts w:hint="default" w:ascii="Times New Roman" w:hAnsi="Times New Roman" w:eastAsia="宋体" w:cs="Times New Roman"/>
          <w:b/>
          <w:sz w:val="24"/>
        </w:rPr>
      </w:pPr>
      <w:r>
        <w:rPr>
          <w:rFonts w:hint="default" w:ascii="Times New Roman" w:hAnsi="Times New Roman" w:eastAsia="宋体" w:cs="Times New Roman"/>
          <w:b/>
          <w:sz w:val="21"/>
          <w:szCs w:val="21"/>
        </w:rPr>
        <w:t>图</w:t>
      </w:r>
      <w:r>
        <w:rPr>
          <w:rFonts w:hint="eastAsia" w:ascii="Times New Roman" w:hAnsi="Times New Roman" w:eastAsia="宋体" w:cs="Times New Roman"/>
          <w:b/>
          <w:sz w:val="21"/>
          <w:szCs w:val="21"/>
          <w:lang w:val="en-US" w:eastAsia="zh-CN"/>
        </w:rPr>
        <w:t>3</w:t>
      </w:r>
      <w:r>
        <w:rPr>
          <w:rFonts w:hint="default" w:ascii="Times New Roman" w:hAnsi="Times New Roman" w:eastAsia="宋体" w:cs="Times New Roman"/>
          <w:b/>
          <w:sz w:val="21"/>
          <w:szCs w:val="21"/>
        </w:rPr>
        <w:t>.</w:t>
      </w:r>
      <w:r>
        <w:rPr>
          <w:rFonts w:hint="eastAsia" w:ascii="Times New Roman" w:hAnsi="Times New Roman" w:eastAsia="宋体" w:cs="Times New Roman"/>
          <w:b/>
          <w:sz w:val="21"/>
          <w:szCs w:val="21"/>
          <w:lang w:val="en-US" w:eastAsia="zh-CN"/>
        </w:rPr>
        <w:t>5</w:t>
      </w:r>
      <w:r>
        <w:rPr>
          <w:rFonts w:hint="default" w:ascii="Times New Roman" w:hAnsi="Times New Roman" w:eastAsia="宋体" w:cs="Times New Roman"/>
          <w:b/>
          <w:sz w:val="21"/>
          <w:szCs w:val="21"/>
        </w:rPr>
        <w:t>-1  项目生产工艺流程示意图</w:t>
      </w:r>
    </w:p>
    <w:p>
      <w:pPr>
        <w:keepNext w:val="0"/>
        <w:keepLines w:val="0"/>
        <w:pageBreakBefore w:val="0"/>
        <w:kinsoku/>
        <w:wordWrap/>
        <w:overflowPunct/>
        <w:topLinePunct w:val="0"/>
        <w:autoSpaceDE w:val="0"/>
        <w:autoSpaceDN w:val="0"/>
        <w:bidi w:val="0"/>
        <w:adjustRightInd/>
        <w:snapToGrid/>
        <w:spacing w:line="360" w:lineRule="auto"/>
        <w:ind w:left="0" w:firstLine="48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b/>
          <w:bCs/>
          <w:kern w:val="0"/>
          <w:sz w:val="24"/>
        </w:rPr>
        <w:t>工艺流程简述：</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（1）喂料</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项目</w:t>
      </w:r>
      <w:r>
        <w:rPr>
          <w:rFonts w:hint="default" w:ascii="Times New Roman" w:hAnsi="Times New Roman" w:eastAsia="宋体" w:cs="Times New Roman"/>
          <w:color w:val="auto"/>
          <w:sz w:val="24"/>
        </w:rPr>
        <w:t>不收购</w:t>
      </w:r>
      <w:r>
        <w:rPr>
          <w:rFonts w:hint="default" w:ascii="Times New Roman" w:hAnsi="Times New Roman" w:eastAsia="宋体" w:cs="Times New Roman"/>
          <w:color w:val="auto"/>
          <w:sz w:val="24"/>
          <w:lang w:eastAsia="zh-CN"/>
        </w:rPr>
        <w:t>含油或沾有</w:t>
      </w:r>
      <w:r>
        <w:rPr>
          <w:rFonts w:hint="default" w:ascii="Times New Roman" w:hAnsi="Times New Roman" w:eastAsia="宋体" w:cs="Times New Roman"/>
          <w:color w:val="auto"/>
          <w:sz w:val="24"/>
        </w:rPr>
        <w:t>医疗废物</w:t>
      </w:r>
      <w:r>
        <w:rPr>
          <w:rFonts w:hint="default" w:ascii="Times New Roman" w:hAnsi="Times New Roman" w:eastAsia="宋体" w:cs="Times New Roman"/>
          <w:color w:val="auto"/>
          <w:sz w:val="24"/>
          <w:lang w:eastAsia="zh-CN"/>
        </w:rPr>
        <w:t>、危险废物的废塑料以及</w:t>
      </w:r>
      <w:r>
        <w:rPr>
          <w:rFonts w:hint="default" w:ascii="Times New Roman" w:hAnsi="Times New Roman" w:eastAsia="宋体" w:cs="Times New Roman"/>
          <w:color w:val="auto"/>
          <w:sz w:val="24"/>
          <w:lang w:val="en-US" w:eastAsia="zh-CN"/>
        </w:rPr>
        <w:t>PPS等</w:t>
      </w:r>
      <w:r>
        <w:rPr>
          <w:rFonts w:hint="default" w:ascii="Times New Roman" w:hAnsi="Times New Roman" w:eastAsia="宋体" w:cs="Times New Roman"/>
          <w:color w:val="auto"/>
          <w:sz w:val="24"/>
        </w:rPr>
        <w:t>。原料在厂内贮存于原材料堆放区，具有防雨、防风、防流失、防火等措施。</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w:t>
      </w:r>
      <w:r>
        <w:rPr>
          <w:rFonts w:hint="default" w:ascii="Times New Roman" w:hAnsi="Times New Roman" w:eastAsia="宋体" w:cs="Times New Roman"/>
          <w:color w:val="auto"/>
          <w:sz w:val="24"/>
          <w:lang w:eastAsia="zh-CN"/>
        </w:rPr>
        <w:t>使用</w:t>
      </w:r>
      <w:r>
        <w:rPr>
          <w:rFonts w:hint="default" w:ascii="Times New Roman" w:hAnsi="Times New Roman" w:eastAsia="宋体" w:cs="Times New Roman"/>
          <w:color w:val="auto"/>
          <w:sz w:val="24"/>
        </w:rPr>
        <w:t>废旧PE（聚乙烯）、PP（聚丙烯）塑料</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主要来源于周边城市合作厂家回收的废</w:t>
      </w:r>
      <w:r>
        <w:rPr>
          <w:rFonts w:hint="default" w:ascii="Times New Roman" w:hAnsi="Times New Roman" w:eastAsia="宋体" w:cs="Times New Roman"/>
          <w:color w:val="auto"/>
          <w:sz w:val="24"/>
          <w:lang w:eastAsia="zh-CN"/>
        </w:rPr>
        <w:t>弃</w:t>
      </w:r>
      <w:r>
        <w:rPr>
          <w:rFonts w:hint="default" w:ascii="Times New Roman" w:hAnsi="Times New Roman" w:eastAsia="宋体" w:cs="Times New Roman"/>
          <w:color w:val="auto"/>
          <w:sz w:val="24"/>
        </w:rPr>
        <w:t>塑料</w:t>
      </w:r>
      <w:r>
        <w:rPr>
          <w:rFonts w:hint="default" w:ascii="Times New Roman" w:hAnsi="Times New Roman" w:eastAsia="宋体" w:cs="Times New Roman"/>
          <w:color w:val="auto"/>
          <w:sz w:val="24"/>
          <w:lang w:eastAsia="zh-CN"/>
        </w:rPr>
        <w:t>碎片</w:t>
      </w:r>
      <w:r>
        <w:rPr>
          <w:rFonts w:hint="default" w:ascii="Times New Roman" w:hAnsi="Times New Roman" w:eastAsia="宋体" w:cs="Times New Roman"/>
          <w:color w:val="auto"/>
          <w:sz w:val="24"/>
        </w:rPr>
        <w:t>，不含卤族元素</w:t>
      </w:r>
      <w:r>
        <w:rPr>
          <w:rFonts w:hint="default" w:ascii="Times New Roman" w:hAnsi="Times New Roman" w:eastAsia="宋体" w:cs="Times New Roman"/>
          <w:color w:val="auto"/>
          <w:sz w:val="24"/>
          <w:lang w:eastAsia="zh-CN"/>
        </w:rPr>
        <w:t>；且原料已经厂家分拣、破碎、清洗等预处理，厂区无需破碎、</w:t>
      </w:r>
      <w:r>
        <w:rPr>
          <w:rFonts w:hint="default" w:ascii="Times New Roman" w:hAnsi="Times New Roman" w:eastAsia="宋体" w:cs="Times New Roman"/>
          <w:color w:val="auto"/>
          <w:sz w:val="24"/>
        </w:rPr>
        <w:t>清洗</w:t>
      </w:r>
      <w:r>
        <w:rPr>
          <w:rFonts w:hint="default" w:ascii="Times New Roman" w:hAnsi="Times New Roman" w:eastAsia="宋体" w:cs="Times New Roman"/>
          <w:color w:val="auto"/>
          <w:sz w:val="24"/>
          <w:lang w:eastAsia="zh-CN"/>
        </w:rPr>
        <w:t>等</w:t>
      </w:r>
      <w:r>
        <w:rPr>
          <w:rFonts w:hint="default" w:ascii="Times New Roman" w:hAnsi="Times New Roman" w:eastAsia="宋体" w:cs="Times New Roman"/>
          <w:color w:val="auto"/>
          <w:sz w:val="24"/>
        </w:rPr>
        <w:t>预处理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直接通过全自动喂料机将</w:t>
      </w:r>
      <w:r>
        <w:rPr>
          <w:rFonts w:hint="eastAsia" w:ascii="Times New Roman" w:hAnsi="Times New Roman" w:eastAsia="宋体" w:cs="Times New Roman"/>
          <w:color w:val="auto"/>
          <w:sz w:val="24"/>
          <w:lang w:eastAsia="zh-CN"/>
        </w:rPr>
        <w:t>外购</w:t>
      </w:r>
      <w:r>
        <w:rPr>
          <w:rFonts w:hint="default" w:ascii="Times New Roman" w:hAnsi="Times New Roman" w:eastAsia="宋体" w:cs="Times New Roman"/>
          <w:color w:val="auto"/>
          <w:sz w:val="24"/>
        </w:rPr>
        <w:t>的废</w:t>
      </w:r>
      <w:r>
        <w:rPr>
          <w:rFonts w:hint="default" w:ascii="Times New Roman" w:hAnsi="Times New Roman" w:eastAsia="宋体" w:cs="Times New Roman"/>
          <w:color w:val="auto"/>
          <w:sz w:val="24"/>
          <w:lang w:eastAsia="zh-CN"/>
        </w:rPr>
        <w:t>弃</w:t>
      </w:r>
      <w:r>
        <w:rPr>
          <w:rFonts w:hint="default" w:ascii="Times New Roman" w:hAnsi="Times New Roman" w:eastAsia="宋体" w:cs="Times New Roman"/>
          <w:color w:val="auto"/>
          <w:sz w:val="24"/>
        </w:rPr>
        <w:t>塑料输送至挤出机即可。</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此工序会产生噪声（N）；</w:t>
      </w:r>
    </w:p>
    <w:p>
      <w:pPr>
        <w:keepNext w:val="0"/>
        <w:keepLines w:val="0"/>
        <w:pageBreakBefore w:val="0"/>
        <w:numPr>
          <w:ilvl w:val="0"/>
          <w:numId w:val="0"/>
        </w:numPr>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熔融挤出</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szCs w:val="22"/>
        </w:rPr>
        <w:t>挤出机的加热机筒釆用电加热方式，塑料挤出温度控制在180〜220℃</w:t>
      </w:r>
      <w:r>
        <w:rPr>
          <w:rFonts w:hint="default" w:ascii="Times New Roman" w:hAnsi="Times New Roman" w:eastAsia="宋体" w:cs="Times New Roman"/>
          <w:color w:val="auto"/>
          <w:sz w:val="24"/>
          <w:szCs w:val="22"/>
          <w:lang w:eastAsia="zh-CN"/>
        </w:rPr>
        <w:t>，物料加热时间控制在</w:t>
      </w:r>
      <w:r>
        <w:rPr>
          <w:rFonts w:hint="default" w:ascii="Times New Roman" w:hAnsi="Times New Roman" w:eastAsia="宋体" w:cs="Times New Roman"/>
          <w:color w:val="auto"/>
          <w:sz w:val="24"/>
          <w:szCs w:val="22"/>
          <w:lang w:val="en-US" w:eastAsia="zh-CN"/>
        </w:rPr>
        <w:t>5~8min</w:t>
      </w:r>
      <w:r>
        <w:rPr>
          <w:rFonts w:hint="default" w:ascii="Times New Roman" w:hAnsi="Times New Roman" w:eastAsia="宋体" w:cs="Times New Roman"/>
          <w:color w:val="auto"/>
          <w:sz w:val="24"/>
          <w:szCs w:val="22"/>
        </w:rPr>
        <w:t>。挤出机温度控制一般分为输送段、熔融段、均化段，其中输送段温度控制在接近塑料熔点温度，熔融段温度控制在略高于塑料熔点温度，均化段温度控制在略高于熔融段温度，挤出机机筒各段温度均大大低于塑料分解温度，确保塑料原料不分解、不碳化、不改变特性。</w:t>
      </w:r>
      <w:r>
        <w:rPr>
          <w:rFonts w:hint="default" w:ascii="Times New Roman" w:hAnsi="Times New Roman" w:eastAsia="宋体" w:cs="Times New Roman"/>
          <w:color w:val="auto"/>
          <w:kern w:val="0"/>
          <w:sz w:val="24"/>
        </w:rPr>
        <w:t>但熔融挤出工序会产生少量有机废气。</w:t>
      </w:r>
    </w:p>
    <w:p>
      <w:pPr>
        <w:pStyle w:val="28"/>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lang w:eastAsia="zh-CN"/>
        </w:rPr>
        <w:t>本项目挤出机机头处自带微孔滤头，进一步去除熔体中的杂质，微孔滤头内设置自动清除杂质系统，即当滤网表面的杂质达到一定量堵塞过滤网时，滤头内的转子会自动清除杂质。微孔滤头的滤网需根据生产需要定期更换。</w:t>
      </w:r>
    </w:p>
    <w:p>
      <w:pPr>
        <w:pStyle w:val="28"/>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bCs/>
          <w:color w:val="auto"/>
          <w:sz w:val="24"/>
        </w:rPr>
        <w:t>此工序会产生噪声（N）、有机废气（G</w:t>
      </w:r>
      <w:r>
        <w:rPr>
          <w:rFonts w:hint="default" w:ascii="Times New Roman" w:hAnsi="Times New Roman" w:eastAsia="宋体" w:cs="Times New Roman"/>
          <w:bCs/>
          <w:color w:val="auto"/>
          <w:sz w:val="24"/>
          <w:vertAlign w:val="subscript"/>
        </w:rPr>
        <w:t>1</w:t>
      </w:r>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szCs w:val="22"/>
        </w:rPr>
        <w:t>、废过滤网（S</w:t>
      </w:r>
      <w:r>
        <w:rPr>
          <w:rFonts w:hint="default" w:ascii="Times New Roman" w:hAnsi="Times New Roman" w:eastAsia="宋体" w:cs="Times New Roman"/>
          <w:color w:val="auto"/>
          <w:sz w:val="24"/>
          <w:szCs w:val="22"/>
          <w:vertAlign w:val="subscript"/>
          <w:lang w:val="en-US" w:eastAsia="zh-CN"/>
        </w:rPr>
        <w:t>1</w:t>
      </w:r>
      <w:r>
        <w:rPr>
          <w:rFonts w:hint="default" w:ascii="Times New Roman" w:hAnsi="Times New Roman" w:eastAsia="宋体" w:cs="Times New Roman"/>
          <w:color w:val="auto"/>
          <w:sz w:val="24"/>
          <w:szCs w:val="22"/>
        </w:rPr>
        <w:t>）</w:t>
      </w:r>
      <w:r>
        <w:rPr>
          <w:rFonts w:hint="default" w:ascii="Times New Roman" w:hAnsi="Times New Roman" w:eastAsia="宋体" w:cs="Times New Roman"/>
          <w:bCs/>
          <w:color w:val="auto"/>
          <w:sz w:val="24"/>
        </w:rPr>
        <w:t>等；</w:t>
      </w:r>
    </w:p>
    <w:p>
      <w:pPr>
        <w:keepNext w:val="0"/>
        <w:keepLines w:val="0"/>
        <w:pageBreakBefore w:val="0"/>
        <w:kinsoku/>
        <w:wordWrap/>
        <w:overflowPunct/>
        <w:topLinePunct w:val="0"/>
        <w:bidi w:val="0"/>
        <w:adjustRightInd/>
        <w:snapToGrid/>
        <w:spacing w:line="360" w:lineRule="auto"/>
        <w:ind w:left="0" w:firstLine="57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rPr>
        <w:t>）冷却</w:t>
      </w:r>
    </w:p>
    <w:p>
      <w:pPr>
        <w:keepNext w:val="0"/>
        <w:keepLines w:val="0"/>
        <w:pageBreakBefore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挤出机</w:t>
      </w:r>
      <w:r>
        <w:rPr>
          <w:rFonts w:hint="default" w:ascii="Times New Roman" w:hAnsi="Times New Roman" w:eastAsia="宋体" w:cs="Times New Roman"/>
          <w:color w:val="auto"/>
          <w:sz w:val="24"/>
        </w:rPr>
        <w:t>挤出的熔融料呈圆柱条形，直径约为</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mm~</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mm，经牵引送入冷却水槽内冷却。项目采用浸泡方式冷却，各生产线均配套1个冷却水槽，大小为L8.0m×W0.4m×H0.4m。冷却水槽内冷却水循环使用，每天人工补充蒸发损耗量即可。</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）切粒</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出冷却水槽的塑条，直接进入切粒机切粒处理得到客户需要的尺寸（</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mm~</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mm），然后通过螺旋泵泵入配套的料筒内暂存。由于塑条出水温度约为80℃，塑条为软条状，未完全硬化，切粒过程中无粉尘产生；出冷却水槽的塑条，表面沾有少量水经冷却水槽设备配套的导流槽回流至冷却水槽，循环使用不外排。</w:t>
      </w:r>
    </w:p>
    <w:p>
      <w:pPr>
        <w:keepNext w:val="0"/>
        <w:keepLines w:val="0"/>
        <w:pageBreakBefore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此工序会产生噪声（N）；</w:t>
      </w:r>
    </w:p>
    <w:p>
      <w:pPr>
        <w:keepNext w:val="0"/>
        <w:keepLines w:val="0"/>
        <w:pageBreakBefore w:val="0"/>
        <w:kinsoku/>
        <w:wordWrap/>
        <w:overflowPunct/>
        <w:topLinePunct w:val="0"/>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rPr>
        <w:t>）包装入库</w:t>
      </w:r>
    </w:p>
    <w:p>
      <w:pPr>
        <w:keepNext w:val="0"/>
        <w:keepLines w:val="0"/>
        <w:pageBreakBefore w:val="0"/>
        <w:kinsoku/>
        <w:wordWrap/>
        <w:overflowPunct/>
        <w:topLinePunct w:val="0"/>
        <w:autoSpaceDE w:val="0"/>
        <w:autoSpaceDN w:val="0"/>
        <w:bidi w:val="0"/>
        <w:adjustRightInd/>
        <w:snapToGrid/>
        <w:spacing w:line="360" w:lineRule="auto"/>
        <w:ind w:left="0"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切粒机切好的塑料粒子通过</w:t>
      </w:r>
      <w:r>
        <w:rPr>
          <w:rFonts w:hint="default" w:ascii="Times New Roman" w:hAnsi="Times New Roman" w:eastAsia="宋体" w:cs="Times New Roman"/>
          <w:color w:val="auto"/>
          <w:sz w:val="24"/>
          <w:lang w:eastAsia="zh-CN"/>
        </w:rPr>
        <w:t>生产线</w:t>
      </w:r>
      <w:r>
        <w:rPr>
          <w:rFonts w:hint="default" w:ascii="Times New Roman" w:hAnsi="Times New Roman" w:eastAsia="宋体" w:cs="Times New Roman"/>
          <w:color w:val="auto"/>
          <w:sz w:val="24"/>
        </w:rPr>
        <w:t>的</w:t>
      </w:r>
      <w:r>
        <w:rPr>
          <w:rFonts w:hint="default" w:ascii="Times New Roman" w:hAnsi="Times New Roman" w:eastAsia="宋体" w:cs="Times New Roman"/>
          <w:color w:val="auto"/>
          <w:sz w:val="24"/>
          <w:lang w:eastAsia="zh-CN"/>
        </w:rPr>
        <w:t>配套的</w:t>
      </w:r>
      <w:r>
        <w:rPr>
          <w:rFonts w:hint="default" w:ascii="Times New Roman" w:hAnsi="Times New Roman" w:eastAsia="宋体" w:cs="Times New Roman"/>
          <w:color w:val="auto"/>
          <w:sz w:val="24"/>
        </w:rPr>
        <w:t>吸料管吸入</w:t>
      </w:r>
      <w:r>
        <w:rPr>
          <w:rFonts w:hint="default" w:ascii="Times New Roman" w:hAnsi="Times New Roman" w:eastAsia="宋体" w:cs="Times New Roman"/>
          <w:color w:val="auto"/>
          <w:sz w:val="24"/>
          <w:lang w:eastAsia="zh-CN"/>
        </w:rPr>
        <w:t>料筒</w:t>
      </w:r>
      <w:r>
        <w:rPr>
          <w:rFonts w:hint="default" w:ascii="Times New Roman" w:hAnsi="Times New Roman" w:eastAsia="宋体" w:cs="Times New Roman"/>
          <w:color w:val="auto"/>
          <w:sz w:val="24"/>
        </w:rPr>
        <w:t>内，打开</w:t>
      </w:r>
      <w:r>
        <w:rPr>
          <w:rFonts w:hint="default" w:ascii="Times New Roman" w:hAnsi="Times New Roman" w:eastAsia="宋体" w:cs="Times New Roman"/>
          <w:color w:val="auto"/>
          <w:sz w:val="24"/>
          <w:lang w:eastAsia="zh-CN"/>
        </w:rPr>
        <w:t>料筒</w:t>
      </w:r>
      <w:r>
        <w:rPr>
          <w:rFonts w:hint="default" w:ascii="Times New Roman" w:hAnsi="Times New Roman" w:eastAsia="宋体" w:cs="Times New Roman"/>
          <w:color w:val="auto"/>
          <w:sz w:val="24"/>
        </w:rPr>
        <w:t>的卸料口阀门，将加工好的塑料粒子</w:t>
      </w:r>
      <w:r>
        <w:rPr>
          <w:rFonts w:hint="default" w:ascii="Times New Roman" w:hAnsi="Times New Roman" w:eastAsia="宋体" w:cs="Times New Roman"/>
          <w:color w:val="auto"/>
          <w:sz w:val="24"/>
          <w:lang w:eastAsia="zh-CN"/>
        </w:rPr>
        <w:t>通过包装机包装好</w:t>
      </w:r>
      <w:r>
        <w:rPr>
          <w:rFonts w:hint="default" w:ascii="Times New Roman" w:hAnsi="Times New Roman" w:eastAsia="宋体" w:cs="Times New Roman"/>
          <w:color w:val="auto"/>
          <w:sz w:val="24"/>
        </w:rPr>
        <w:t>后即可送入仓库，等待出厂。</w:t>
      </w:r>
    </w:p>
    <w:p>
      <w:pPr>
        <w:pStyle w:val="28"/>
        <w:keepNext w:val="0"/>
        <w:keepLines w:val="0"/>
        <w:pageBreakBefore w:val="0"/>
        <w:kinsoku/>
        <w:wordWrap/>
        <w:overflowPunct/>
        <w:topLinePunct w:val="0"/>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rPr>
        <w:t>此工序会产生噪声（N）。</w:t>
      </w:r>
      <w:r>
        <w:rPr>
          <w:rFonts w:hint="eastAsia" w:ascii="Times New Roman" w:hAnsi="Times New Roman" w:eastAsia="宋体" w:cs="Times New Roman"/>
          <w:color w:val="auto"/>
          <w:sz w:val="24"/>
          <w:lang w:val="en-US" w:eastAsia="zh-CN"/>
        </w:rPr>
        <w:t xml:space="preserve">   </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9" w:name="_Toc18057"/>
      <w:r>
        <w:rPr>
          <w:rFonts w:hint="eastAsia" w:ascii="Times New Roman" w:hAnsi="Times New Roman" w:eastAsia="宋体"/>
          <w:color w:val="auto"/>
        </w:rPr>
        <w:t>3.</w:t>
      </w:r>
      <w:r>
        <w:rPr>
          <w:rFonts w:hint="eastAsia" w:ascii="Times New Roman" w:hAnsi="Times New Roman" w:eastAsia="宋体"/>
          <w:color w:val="auto"/>
          <w:lang w:val="en-US" w:eastAsia="zh-CN"/>
        </w:rPr>
        <w:t>6</w:t>
      </w:r>
      <w:r>
        <w:rPr>
          <w:rFonts w:hint="eastAsia" w:ascii="Times New Roman" w:hAnsi="Times New Roman" w:eastAsia="宋体"/>
          <w:color w:val="auto"/>
        </w:rPr>
        <w:t>项目变动情况</w:t>
      </w:r>
      <w:bookmarkEnd w:id="19"/>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根据</w:t>
      </w:r>
      <w:r>
        <w:rPr>
          <w:rFonts w:hint="eastAsia" w:ascii="Times New Roman" w:hAnsi="Times New Roman" w:eastAsia="宋体"/>
          <w:color w:val="auto"/>
          <w:szCs w:val="24"/>
          <w:lang w:eastAsia="zh-CN"/>
        </w:rPr>
        <w:t>《污染影响类建设项目重大变动清单（试行）的通知》（环办环评函【</w:t>
      </w:r>
      <w:r>
        <w:rPr>
          <w:rFonts w:hint="eastAsia" w:ascii="Times New Roman" w:hAnsi="Times New Roman" w:eastAsia="宋体"/>
          <w:color w:val="auto"/>
          <w:szCs w:val="24"/>
          <w:lang w:val="en-US" w:eastAsia="zh-CN"/>
        </w:rPr>
        <w:t>2020】688号）</w:t>
      </w:r>
      <w:r>
        <w:rPr>
          <w:rFonts w:hint="eastAsia" w:ascii="Times New Roman" w:hAnsi="Times New Roman" w:eastAsia="宋体"/>
          <w:color w:val="auto"/>
          <w:highlight w:val="none"/>
        </w:rPr>
        <w:t>相关内容，工程实际变动情况与变动清单的对照情况具体见表3.</w:t>
      </w:r>
      <w:r>
        <w:rPr>
          <w:rFonts w:hint="eastAsia" w:ascii="Times New Roman" w:hAnsi="Times New Roman" w:eastAsia="宋体"/>
          <w:color w:val="auto"/>
          <w:highlight w:val="none"/>
          <w:lang w:val="en-US" w:eastAsia="zh-CN"/>
        </w:rPr>
        <w:t>6</w:t>
      </w:r>
      <w:r>
        <w:rPr>
          <w:rFonts w:hint="eastAsia" w:ascii="Times New Roman" w:hAnsi="Times New Roman" w:eastAsia="宋体"/>
          <w:color w:val="auto"/>
          <w:highlight w:val="none"/>
        </w:rPr>
        <w:t>-1。</w:t>
      </w:r>
    </w:p>
    <w:bookmarkEnd w:id="13"/>
    <w:p>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宋体"/>
          <w:b/>
          <w:bCs/>
          <w:color w:val="auto"/>
          <w:sz w:val="21"/>
          <w:szCs w:val="21"/>
          <w:lang w:val="en-US" w:eastAsia="zh-CN"/>
        </w:rPr>
      </w:pPr>
      <w:bookmarkStart w:id="20" w:name="_Toc507454869"/>
      <w:r>
        <w:rPr>
          <w:rFonts w:hint="eastAsia" w:ascii="Times New Roman" w:hAnsi="Times New Roman" w:eastAsia="宋体" w:cs="宋体"/>
          <w:b/>
          <w:bCs/>
          <w:color w:val="auto"/>
          <w:sz w:val="21"/>
          <w:szCs w:val="21"/>
          <w:lang w:val="en-US" w:eastAsia="zh-CN"/>
        </w:rPr>
        <w:t>表3.6-1  污染影响类建设项目重大变动清单（试行）</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3488"/>
        <w:gridCol w:w="3515"/>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类别</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变动清单</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实际建设</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b/>
                <w:bCs/>
                <w:color w:val="auto"/>
                <w:sz w:val="21"/>
                <w:szCs w:val="21"/>
                <w:vertAlign w:val="baseline"/>
                <w:lang w:val="en-US" w:eastAsia="zh-CN"/>
              </w:rPr>
            </w:pPr>
            <w:r>
              <w:rPr>
                <w:rFonts w:hint="eastAsia" w:ascii="Times New Roman" w:hAnsi="Times New Roman" w:eastAsia="宋体" w:cs="宋体"/>
                <w:b/>
                <w:bCs/>
                <w:color w:val="auto"/>
                <w:sz w:val="21"/>
                <w:szCs w:val="21"/>
                <w:vertAlign w:val="baseline"/>
                <w:lang w:val="en-US" w:eastAsia="zh-CN"/>
              </w:rPr>
              <w:t>是否涉及重大变动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性质</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建设项目开发、使用功能发生变化的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建设项目</w:t>
            </w:r>
            <w:r>
              <w:rPr>
                <w:rFonts w:hint="eastAsia" w:ascii="Times New Roman" w:hAnsi="Times New Roman" w:eastAsia="宋体" w:cs="Times New Roman"/>
                <w:b w:val="0"/>
                <w:bCs w:val="0"/>
                <w:color w:val="auto"/>
                <w:sz w:val="21"/>
                <w:szCs w:val="21"/>
                <w:lang w:val="en-US" w:eastAsia="zh-CN"/>
              </w:rPr>
              <w:t>进行阶段性验收</w:t>
            </w:r>
            <w:r>
              <w:rPr>
                <w:rFonts w:hint="eastAsia" w:ascii="Times New Roman" w:hAnsi="Times New Roman" w:eastAsia="宋体" w:cs="宋体"/>
                <w:color w:val="auto"/>
                <w:sz w:val="21"/>
                <w:szCs w:val="21"/>
                <w:vertAlign w:val="baseline"/>
                <w:lang w:val="en-US" w:eastAsia="zh-CN"/>
              </w:rPr>
              <w:t>开发、使用功能</w:t>
            </w:r>
            <w:r>
              <w:rPr>
                <w:rFonts w:hint="eastAsia" w:ascii="Times New Roman" w:cs="宋体"/>
                <w:color w:val="auto"/>
                <w:sz w:val="21"/>
                <w:szCs w:val="21"/>
                <w:vertAlign w:val="baseline"/>
                <w:lang w:val="en-US" w:eastAsia="zh-CN"/>
              </w:rPr>
              <w:t>面积比环评设计的要小， 所以厂区布置也稍有变动。</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规模</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生产、处置及储存能力增大30%及以上的</w:t>
            </w:r>
          </w:p>
        </w:tc>
        <w:tc>
          <w:tcPr>
            <w:tcW w:w="3515"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生产、处置及储存能力未增大</w:t>
            </w:r>
          </w:p>
        </w:tc>
        <w:tc>
          <w:tcPr>
            <w:tcW w:w="1185"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生产、处置或储存能力增大，导致废水第一类污染物排放量增加的。</w:t>
            </w:r>
          </w:p>
        </w:tc>
        <w:tc>
          <w:tcPr>
            <w:tcW w:w="351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118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351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1185"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地点</w:t>
            </w: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重新选址；在原厂址附近调整（包括总平面布置变化）导致环境防护距离范围变化且新增敏感点的。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选址未发生变化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生产工艺</w:t>
            </w: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新增产品品种或生产工艺（含主要生产装置、设备及配套设施）、主要原辅材料、燃料变化，导致以下情形之一：</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（1）新增排放污染物种类的（毒性、挥发性降低的除外）；</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　　（3）废水第一类污染物排放量增加的；</w:t>
            </w:r>
          </w:p>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　　（4）其他污染物排放量增加10%及以上的。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lang w:eastAsia="zh-CN"/>
              </w:rPr>
              <w:t>未</w:t>
            </w:r>
            <w:r>
              <w:rPr>
                <w:rFonts w:hint="eastAsia" w:ascii="Times New Roman" w:hAnsi="Times New Roman" w:eastAsia="宋体" w:cs="宋体"/>
                <w:color w:val="000000"/>
                <w:sz w:val="21"/>
                <w:szCs w:val="19"/>
              </w:rPr>
              <w:t>新增产品品种</w:t>
            </w:r>
            <w:r>
              <w:rPr>
                <w:rFonts w:hint="eastAsia" w:ascii="Times New Roman" w:hAnsi="Times New Roman" w:eastAsia="宋体" w:cs="宋体"/>
                <w:color w:val="000000"/>
                <w:sz w:val="21"/>
                <w:szCs w:val="19"/>
                <w:lang w:eastAsia="zh-CN"/>
              </w:rPr>
              <w:t>、</w:t>
            </w:r>
            <w:r>
              <w:rPr>
                <w:rFonts w:hint="eastAsia" w:ascii="Times New Roman" w:hAnsi="Times New Roman" w:eastAsia="宋体" w:cs="宋体"/>
                <w:color w:val="000000"/>
                <w:sz w:val="21"/>
                <w:szCs w:val="19"/>
              </w:rPr>
              <w:t>生产工艺（含主要生产装置、设备及配套设施）</w:t>
            </w:r>
            <w:r>
              <w:rPr>
                <w:rFonts w:hint="eastAsia" w:ascii="Times New Roman" w:hAnsi="Times New Roman" w:eastAsia="宋体" w:cs="宋体"/>
                <w:color w:val="000000"/>
                <w:sz w:val="21"/>
                <w:szCs w:val="19"/>
                <w:lang w:eastAsia="zh-CN"/>
              </w:rPr>
              <w:t>以及</w:t>
            </w:r>
            <w:r>
              <w:rPr>
                <w:rFonts w:hint="eastAsia" w:ascii="Times New Roman" w:hAnsi="Times New Roman" w:eastAsia="宋体" w:cs="宋体"/>
                <w:color w:val="000000"/>
                <w:sz w:val="21"/>
                <w:szCs w:val="19"/>
              </w:rPr>
              <w:t>主要原辅材料、燃料</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物料运输、装卸、贮存方式变化，导致大气污染物无组织排放量增加10%及以上的。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物料运输、装卸、贮存方式</w:t>
            </w:r>
            <w:r>
              <w:rPr>
                <w:rFonts w:hint="eastAsia" w:ascii="Times New Roman" w:hAnsi="Times New Roman" w:eastAsia="宋体" w:cs="宋体"/>
                <w:color w:val="000000"/>
                <w:sz w:val="21"/>
                <w:szCs w:val="19"/>
                <w:lang w:eastAsia="zh-CN"/>
              </w:rPr>
              <w:t>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restart"/>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highlight w:val="none"/>
                <w:vertAlign w:val="baseline"/>
                <w:lang w:val="en-US" w:eastAsia="zh-CN"/>
              </w:rPr>
              <w:t>环境保护措施</w:t>
            </w:r>
          </w:p>
        </w:tc>
        <w:tc>
          <w:tcPr>
            <w:tcW w:w="3488"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废气、废水污染防治措施变化，导致第6条中所列情形之一（废气无组织排放改为有组织排放、污染防治措施强化或改进的除外）或大气污染物无组织排放量增加10%及以上的。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废气</w:t>
            </w:r>
            <w:r>
              <w:rPr>
                <w:rFonts w:hint="eastAsia" w:ascii="Times New Roman" w:hAnsi="Times New Roman" w:eastAsia="宋体" w:cs="宋体"/>
                <w:color w:val="000000"/>
                <w:sz w:val="21"/>
                <w:szCs w:val="19"/>
                <w:lang w:eastAsia="zh-CN"/>
              </w:rPr>
              <w:t>治理措施由“</w:t>
            </w:r>
            <w:r>
              <w:rPr>
                <w:rFonts w:hint="eastAsia" w:ascii="Times New Roman" w:hAnsi="Times New Roman" w:eastAsia="宋体" w:cs="宋体"/>
                <w:color w:val="000000"/>
                <w:sz w:val="21"/>
                <w:szCs w:val="19"/>
                <w:lang w:val="en-US" w:eastAsia="zh-CN"/>
              </w:rPr>
              <w:t>UV光解+活性炭吸附装置”优化为“</w:t>
            </w:r>
            <w:r>
              <w:rPr>
                <w:rFonts w:hint="eastAsia" w:ascii="Times New Roman" w:hAnsi="Times New Roman" w:eastAsia="宋体"/>
                <w:color w:val="auto"/>
                <w:sz w:val="21"/>
                <w:szCs w:val="21"/>
                <w:lang w:val="en-US" w:eastAsia="zh-CN"/>
              </w:rPr>
              <w:t>高压静电+活性炭吸附装置”</w:t>
            </w:r>
            <w:r>
              <w:rPr>
                <w:rFonts w:hint="eastAsia" w:ascii="Times New Roman" w:hAnsi="Times New Roman" w:eastAsia="宋体" w:cs="宋体"/>
                <w:color w:val="000000"/>
                <w:sz w:val="21"/>
                <w:szCs w:val="19"/>
                <w:lang w:eastAsia="zh-CN"/>
              </w:rPr>
              <w:t>。本项目环评要求办公生活污水、保洁废水经化粪池预处理后进入一体化污水处理设备处理后用于厂区绿化；</w:t>
            </w:r>
            <w:r>
              <w:rPr>
                <w:rFonts w:hint="eastAsia" w:ascii="Times New Roman" w:hAnsi="Times New Roman" w:eastAsia="宋体" w:cs="宋体"/>
                <w:color w:val="000000"/>
                <w:sz w:val="21"/>
                <w:szCs w:val="19"/>
              </w:rPr>
              <w:t>废水污染防治措施变化，</w:t>
            </w:r>
            <w:r>
              <w:rPr>
                <w:rFonts w:hint="eastAsia" w:ascii="Times New Roman" w:hAnsi="Times New Roman" w:eastAsia="宋体" w:cs="宋体"/>
                <w:color w:val="000000"/>
                <w:sz w:val="21"/>
                <w:szCs w:val="19"/>
                <w:lang w:eastAsia="zh-CN"/>
              </w:rPr>
              <w:t>并未</w:t>
            </w:r>
            <w:r>
              <w:rPr>
                <w:rFonts w:hint="eastAsia" w:ascii="Times New Roman" w:hAnsi="Times New Roman" w:eastAsia="宋体" w:cs="宋体"/>
                <w:color w:val="000000"/>
                <w:sz w:val="21"/>
                <w:szCs w:val="19"/>
              </w:rPr>
              <w:t>导致第6条中所列情形之一</w:t>
            </w:r>
            <w:r>
              <w:rPr>
                <w:rFonts w:hint="eastAsia" w:ascii="Times New Roman" w:hAnsi="Times New Roman" w:eastAsia="宋体" w:cs="宋体"/>
                <w:color w:val="000000"/>
                <w:sz w:val="21"/>
                <w:szCs w:val="19"/>
                <w:lang w:eastAsia="zh-CN"/>
              </w:rPr>
              <w:t>发生变</w:t>
            </w:r>
            <w:r>
              <w:rPr>
                <w:rFonts w:hint="eastAsia" w:ascii="Times New Roman" w:hAnsi="Times New Roman" w:eastAsia="宋体" w:cs="宋体"/>
                <w:color w:val="000000"/>
                <w:sz w:val="21"/>
                <w:szCs w:val="19"/>
              </w:rPr>
              <w:t>。</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新增废水直接排放口；废水由间接排放改为直接排放；废水直接排放口位置变化，导致不利环境影响加重的。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本项目废水间接排放。</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新增废气主要排放口（废气无组织排放改为有组织排放的除外）；主要排放口排气筒高度降低10%及以上的。</w:t>
            </w:r>
          </w:p>
        </w:tc>
        <w:tc>
          <w:tcPr>
            <w:tcW w:w="3515" w:type="dxa"/>
            <w:vAlign w:val="center"/>
          </w:tcPr>
          <w:p>
            <w:pPr>
              <w:pStyle w:val="8"/>
              <w:rPr>
                <w:rFonts w:hint="eastAsia" w:eastAsia="宋体"/>
                <w:lang w:eastAsia="zh-CN"/>
              </w:rPr>
            </w:pPr>
            <w:r>
              <w:rPr>
                <w:rFonts w:hint="eastAsia"/>
                <w:lang w:eastAsia="zh-CN"/>
              </w:rPr>
              <w:t>与环评不一致，</w:t>
            </w:r>
            <w:r>
              <w:rPr>
                <w:rFonts w:hint="eastAsia" w:ascii="Times New Roman" w:hAnsi="Times New Roman" w:eastAsia="宋体" w:cs="宋体"/>
                <w:color w:val="000000"/>
                <w:sz w:val="21"/>
                <w:szCs w:val="19"/>
              </w:rPr>
              <w:t>事故废水暂存能力设施变化，</w:t>
            </w:r>
            <w:r>
              <w:rPr>
                <w:rFonts w:hint="eastAsia" w:ascii="Times New Roman" w:hAnsi="Times New Roman" w:eastAsia="宋体" w:cs="宋体"/>
                <w:color w:val="000000"/>
                <w:sz w:val="21"/>
                <w:szCs w:val="19"/>
                <w:lang w:eastAsia="zh-CN"/>
              </w:rPr>
              <w:t>未</w:t>
            </w:r>
            <w:r>
              <w:rPr>
                <w:rFonts w:hint="eastAsia" w:ascii="Times New Roman" w:hAnsi="Times New Roman" w:eastAsia="宋体" w:cs="宋体"/>
                <w:color w:val="000000"/>
                <w:sz w:val="21"/>
                <w:szCs w:val="19"/>
              </w:rPr>
              <w:t>导致环境风险防范能力弱化或降低的。</w:t>
            </w:r>
          </w:p>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噪声、土壤或地下水污染防治措施变化，导致不利环境影响加重的。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噪声、土壤或地下水污染防治措施</w:t>
            </w:r>
            <w:r>
              <w:rPr>
                <w:rFonts w:hint="eastAsia" w:ascii="Times New Roman" w:hAnsi="Times New Roman" w:eastAsia="宋体" w:cs="宋体"/>
                <w:color w:val="000000"/>
                <w:sz w:val="21"/>
                <w:szCs w:val="19"/>
                <w:lang w:eastAsia="zh-CN"/>
              </w:rPr>
              <w:t>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固体废物利用处置方式由委托外单位利用处置改为自行利用处置的（自行利用处置设施单独开展环境影响评价的除外）；固体废物自行处置方式变化，导致不利环境影响加重的。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固体废物利用处置方式</w:t>
            </w:r>
            <w:r>
              <w:rPr>
                <w:rFonts w:hint="eastAsia" w:ascii="Times New Roman" w:hAnsi="Times New Roman" w:eastAsia="宋体" w:cs="宋体"/>
                <w:color w:val="000000"/>
                <w:sz w:val="21"/>
                <w:szCs w:val="19"/>
                <w:lang w:eastAsia="zh-CN"/>
              </w:rPr>
              <w:t>为</w:t>
            </w:r>
            <w:r>
              <w:rPr>
                <w:rFonts w:hint="eastAsia" w:ascii="Times New Roman" w:hAnsi="Times New Roman" w:eastAsia="宋体" w:cs="宋体"/>
                <w:color w:val="000000"/>
                <w:sz w:val="21"/>
                <w:szCs w:val="19"/>
              </w:rPr>
              <w:t>委托</w:t>
            </w:r>
            <w:r>
              <w:rPr>
                <w:rFonts w:hint="eastAsia" w:ascii="Times New Roman" w:hAnsi="Times New Roman" w:eastAsia="宋体" w:cs="宋体"/>
                <w:color w:val="000000"/>
                <w:sz w:val="21"/>
                <w:szCs w:val="19"/>
                <w:lang w:eastAsia="zh-CN"/>
              </w:rPr>
              <w:t>安徽浩越环境科技有限责任公司处置</w:t>
            </w:r>
            <w:r>
              <w:rPr>
                <w:rFonts w:hint="eastAsia" w:ascii="Times New Roman" w:hAnsi="Times New Roman" w:eastAsia="宋体" w:cs="宋体"/>
                <w:color w:val="000000"/>
                <w:sz w:val="21"/>
                <w:szCs w:val="19"/>
              </w:rPr>
              <w:t>。</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dxa"/>
            <w:vMerge w:val="continue"/>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p>
        </w:tc>
        <w:tc>
          <w:tcPr>
            <w:tcW w:w="3488" w:type="dxa"/>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宋体" w:cs="宋体"/>
                <w:color w:val="000000"/>
                <w:sz w:val="21"/>
                <w:szCs w:val="19"/>
              </w:rPr>
            </w:pPr>
            <w:r>
              <w:rPr>
                <w:rFonts w:hint="eastAsia" w:ascii="Times New Roman" w:hAnsi="Times New Roman" w:eastAsia="宋体" w:cs="宋体"/>
                <w:color w:val="000000"/>
                <w:sz w:val="21"/>
                <w:szCs w:val="19"/>
              </w:rPr>
              <w:t>事故废水暂存能力或拦截设施变化，导致环境风险防范能力弱化或降低的。</w:t>
            </w:r>
          </w:p>
        </w:tc>
        <w:tc>
          <w:tcPr>
            <w:tcW w:w="351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000000"/>
                <w:sz w:val="21"/>
                <w:szCs w:val="19"/>
              </w:rPr>
              <w:t>事故废水暂存能力</w:t>
            </w:r>
            <w:r>
              <w:rPr>
                <w:rFonts w:hint="eastAsia" w:ascii="Times New Roman" w:hAnsi="Times New Roman" w:eastAsia="宋体" w:cs="宋体"/>
                <w:color w:val="000000"/>
                <w:sz w:val="21"/>
                <w:szCs w:val="19"/>
                <w:lang w:eastAsia="zh-CN"/>
              </w:rPr>
              <w:t>及</w:t>
            </w:r>
            <w:r>
              <w:rPr>
                <w:rFonts w:hint="eastAsia" w:ascii="Times New Roman" w:hAnsi="Times New Roman" w:eastAsia="宋体" w:cs="宋体"/>
                <w:color w:val="000000"/>
                <w:sz w:val="21"/>
                <w:szCs w:val="19"/>
              </w:rPr>
              <w:t>拦截设施</w:t>
            </w:r>
            <w:r>
              <w:rPr>
                <w:rFonts w:hint="eastAsia" w:ascii="Times New Roman" w:hAnsi="Times New Roman" w:eastAsia="宋体" w:cs="宋体"/>
                <w:color w:val="000000"/>
                <w:sz w:val="21"/>
                <w:szCs w:val="19"/>
                <w:lang w:eastAsia="zh-CN"/>
              </w:rPr>
              <w:t>同环评一致，未发生</w:t>
            </w:r>
            <w:r>
              <w:rPr>
                <w:rFonts w:hint="eastAsia" w:ascii="Times New Roman" w:hAnsi="Times New Roman" w:eastAsia="宋体" w:cs="宋体"/>
                <w:color w:val="000000"/>
                <w:sz w:val="21"/>
                <w:szCs w:val="19"/>
              </w:rPr>
              <w:t>变化</w:t>
            </w:r>
          </w:p>
        </w:tc>
        <w:tc>
          <w:tcPr>
            <w:tcW w:w="1185" w:type="dxa"/>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vertAlign w:val="baseline"/>
                <w:lang w:val="en-US" w:eastAsia="zh-CN"/>
              </w:rPr>
            </w:pPr>
            <w:r>
              <w:rPr>
                <w:rFonts w:hint="eastAsia" w:ascii="Times New Roman" w:hAnsi="Times New Roman" w:eastAsia="宋体" w:cs="宋体"/>
                <w:color w:val="auto"/>
                <w:sz w:val="21"/>
                <w:szCs w:val="21"/>
                <w:vertAlign w:val="baseline"/>
                <w:lang w:val="en-US" w:eastAsia="zh-CN"/>
              </w:rPr>
              <w:t>否</w:t>
            </w:r>
          </w:p>
        </w:tc>
      </w:tr>
    </w:tbl>
    <w:p>
      <w:pPr>
        <w:keepNext/>
        <w:keepLines/>
        <w:pageBreakBefore w:val="0"/>
        <w:widowControl w:val="0"/>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ascii="Times New Roman" w:hAnsi="Times New Roman" w:eastAsia="宋体"/>
          <w:b w:val="0"/>
          <w:bCs w:val="0"/>
          <w:color w:val="auto"/>
          <w:sz w:val="24"/>
          <w:szCs w:val="24"/>
          <w:highlight w:val="none"/>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cs="宋体"/>
          <w:b w:val="0"/>
          <w:bCs w:val="0"/>
          <w:color w:val="auto"/>
          <w:sz w:val="24"/>
          <w:szCs w:val="24"/>
        </w:rPr>
        <w:t>总结：根据上表分析可知，本项目建设不存在重大变动。</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val="en-US" w:eastAsia="zh-CN"/>
        </w:rPr>
      </w:pPr>
      <w:bookmarkStart w:id="21" w:name="_Toc31671"/>
      <w:r>
        <w:rPr>
          <w:rFonts w:ascii="Times New Roman" w:hAnsi="Times New Roman" w:eastAsia="宋体"/>
          <w:color w:val="auto"/>
        </w:rPr>
        <w:t>四、环境保护设施</w:t>
      </w:r>
      <w:bookmarkEnd w:id="20"/>
      <w:bookmarkEnd w:id="21"/>
      <w:bookmarkStart w:id="22" w:name="_Toc507454870"/>
      <w:r>
        <w:rPr>
          <w:rFonts w:hint="eastAsia" w:ascii="Times New Roman" w:hAnsi="Times New Roman" w:eastAsia="宋体"/>
          <w:color w:val="auto"/>
          <w:lang w:val="en-US" w:eastAsia="zh-CN"/>
        </w:rPr>
        <w:t xml:space="preserve"> </w:t>
      </w:r>
    </w:p>
    <w:bookmarkEnd w:id="22"/>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000000" w:themeColor="text1"/>
          <w:szCs w:val="24"/>
          <w:lang w:eastAsia="zh-CN"/>
          <w14:textFill>
            <w14:solidFill>
              <w14:schemeClr w14:val="tx1"/>
            </w14:solidFill>
          </w14:textFill>
        </w:rPr>
      </w:pPr>
      <w:bookmarkStart w:id="23" w:name="_Toc48659613"/>
      <w:bookmarkStart w:id="24" w:name="_Toc53501993"/>
      <w:bookmarkStart w:id="25" w:name="_Toc1434"/>
      <w:r>
        <w:rPr>
          <w:rFonts w:ascii="Times New Roman" w:hAnsi="Times New Roman" w:eastAsia="宋体"/>
          <w:color w:val="auto"/>
          <w:szCs w:val="24"/>
        </w:rPr>
        <w:t>4.</w:t>
      </w:r>
      <w:r>
        <w:rPr>
          <w:rFonts w:hint="eastAsia" w:ascii="Times New Roman" w:hAnsi="Times New Roman" w:eastAsia="宋体"/>
          <w:color w:val="auto"/>
          <w:szCs w:val="24"/>
          <w:lang w:val="en-US" w:eastAsia="zh-CN"/>
        </w:rPr>
        <w:t>1</w:t>
      </w:r>
      <w:r>
        <w:rPr>
          <w:rFonts w:ascii="Times New Roman" w:hAnsi="Times New Roman" w:eastAsia="宋体"/>
          <w:color w:val="auto"/>
          <w:szCs w:val="24"/>
        </w:rPr>
        <w:t>.</w:t>
      </w:r>
      <w:r>
        <w:rPr>
          <w:rFonts w:hint="eastAsia" w:ascii="Times New Roman" w:hAnsi="Times New Roman" w:eastAsia="宋体"/>
          <w:color w:val="auto"/>
          <w:szCs w:val="24"/>
          <w:lang w:val="en-US" w:eastAsia="zh-CN"/>
        </w:rPr>
        <w:t>1</w:t>
      </w:r>
      <w:r>
        <w:rPr>
          <w:rFonts w:hint="eastAsia" w:ascii="Times New Roman" w:hAnsi="Times New Roman" w:eastAsia="宋体"/>
          <w:color w:val="000000" w:themeColor="text1"/>
          <w:szCs w:val="24"/>
          <w14:textFill>
            <w14:solidFill>
              <w14:schemeClr w14:val="tx1"/>
            </w14:solidFill>
          </w14:textFill>
        </w:rPr>
        <w:t>废</w:t>
      </w:r>
      <w:bookmarkEnd w:id="23"/>
      <w:bookmarkEnd w:id="24"/>
      <w:r>
        <w:rPr>
          <w:rFonts w:hint="eastAsia" w:ascii="Times New Roman" w:hAnsi="Times New Roman" w:eastAsia="宋体"/>
          <w:color w:val="000000" w:themeColor="text1"/>
          <w:szCs w:val="24"/>
          <w:lang w:eastAsia="zh-CN"/>
          <w14:textFill>
            <w14:solidFill>
              <w14:schemeClr w14:val="tx1"/>
            </w14:solidFill>
          </w14:textFill>
        </w:rPr>
        <w:t>水</w:t>
      </w:r>
      <w:bookmarkEnd w:id="25"/>
    </w:p>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sz w:val="24"/>
          <w:lang w:eastAsia="zh-CN"/>
        </w:rPr>
      </w:pPr>
      <w:r>
        <w:rPr>
          <w:rFonts w:hint="eastAsia" w:ascii="Times New Roman" w:hAnsi="Times New Roman" w:eastAsia="宋体" w:cs="Times New Roman"/>
          <w:b w:val="0"/>
          <w:bCs w:val="0"/>
          <w:sz w:val="24"/>
          <w:lang w:eastAsia="zh-CN"/>
        </w:rPr>
        <w:t>本项目废水主要为</w:t>
      </w:r>
      <w:r>
        <w:rPr>
          <w:rFonts w:hint="default" w:ascii="Times New Roman" w:hAnsi="Times New Roman" w:eastAsia="宋体" w:cs="Times New Roman"/>
          <w:b w:val="0"/>
          <w:bCs w:val="0"/>
          <w:sz w:val="24"/>
        </w:rPr>
        <w:t>冷却</w:t>
      </w:r>
      <w:r>
        <w:rPr>
          <w:rFonts w:hint="eastAsia" w:ascii="Times New Roman" w:hAnsi="Times New Roman" w:eastAsia="宋体" w:cs="Times New Roman"/>
          <w:b w:val="0"/>
          <w:bCs w:val="0"/>
          <w:sz w:val="24"/>
          <w:lang w:eastAsia="zh-CN"/>
        </w:rPr>
        <w:t>循环水、生活污水和地面保洁废水。项目冷却</w:t>
      </w:r>
      <w:r>
        <w:rPr>
          <w:rFonts w:hint="eastAsia" w:ascii="Times New Roman" w:hAnsi="Times New Roman" w:eastAsia="宋体" w:cs="Times New Roman"/>
          <w:b w:val="0"/>
          <w:bCs w:val="0"/>
          <w:sz w:val="24"/>
          <w:lang w:val="en-US" w:eastAsia="zh-CN"/>
        </w:rPr>
        <w:t>水</w:t>
      </w:r>
      <w:r>
        <w:rPr>
          <w:rFonts w:hint="eastAsia" w:ascii="Times New Roman" w:hAnsi="Times New Roman" w:eastAsia="宋体" w:cs="Times New Roman"/>
          <w:b w:val="0"/>
          <w:bCs w:val="0"/>
          <w:sz w:val="24"/>
          <w:lang w:eastAsia="zh-CN"/>
        </w:rPr>
        <w:t>循环</w:t>
      </w:r>
      <w:r>
        <w:rPr>
          <w:rFonts w:hint="default" w:ascii="Times New Roman" w:hAnsi="Times New Roman" w:eastAsia="宋体" w:cs="Times New Roman"/>
          <w:b w:val="0"/>
          <w:bCs w:val="0"/>
          <w:sz w:val="24"/>
        </w:rPr>
        <w:t>使用，不外排</w:t>
      </w:r>
      <w:r>
        <w:rPr>
          <w:rFonts w:hint="eastAsia" w:ascii="Times New Roman" w:hAnsi="Times New Roman" w:eastAsia="宋体" w:cs="Times New Roman"/>
          <w:b w:val="0"/>
          <w:bCs w:val="0"/>
          <w:sz w:val="24"/>
          <w:lang w:eastAsia="zh-CN"/>
        </w:rPr>
        <w:t>；生活污水和地面保洁废水</w:t>
      </w:r>
      <w:r>
        <w:rPr>
          <w:rFonts w:hint="eastAsia" w:ascii="Times New Roman" w:hAnsi="Times New Roman" w:eastAsia="宋体" w:cs="Times New Roman"/>
          <w:b w:val="0"/>
          <w:bCs w:val="0"/>
          <w:sz w:val="24"/>
          <w:lang w:val="en-US" w:eastAsia="zh-CN"/>
        </w:rPr>
        <w:t>经生活污水处理一体化处理设施处</w:t>
      </w:r>
      <w:r>
        <w:rPr>
          <w:rFonts w:hint="eastAsia" w:ascii="Times New Roman" w:hAnsi="Times New Roman" w:eastAsia="宋体" w:cs="Times New Roman"/>
          <w:b w:val="0"/>
          <w:bCs w:val="0"/>
          <w:sz w:val="24"/>
          <w:lang w:eastAsia="zh-CN"/>
        </w:rPr>
        <w:t>理后</w:t>
      </w:r>
      <w:r>
        <w:rPr>
          <w:rFonts w:hint="eastAsia" w:ascii="Times New Roman" w:hAnsi="Times New Roman" w:eastAsia="宋体" w:cs="Times New Roman"/>
          <w:b w:val="0"/>
          <w:bCs w:val="0"/>
          <w:sz w:val="24"/>
          <w:lang w:val="en-US" w:eastAsia="zh-CN"/>
        </w:rPr>
        <w:t>用于厂区绿化，</w:t>
      </w:r>
      <w:r>
        <w:rPr>
          <w:rFonts w:hint="eastAsia" w:ascii="Times New Roman" w:hAnsi="Times New Roman" w:eastAsia="宋体" w:cs="Times New Roman"/>
          <w:b w:val="0"/>
          <w:bCs w:val="0"/>
          <w:sz w:val="24"/>
          <w:lang w:eastAsia="zh-CN"/>
        </w:rPr>
        <w:t>不外排。</w:t>
      </w:r>
      <w:r>
        <w:rPr>
          <w:rFonts w:hint="default" w:ascii="Times New Roman" w:hAnsi="Times New Roman" w:eastAsia="宋体" w:cs="Times New Roman"/>
          <w:b w:val="0"/>
          <w:bCs w:val="0"/>
          <w:sz w:val="24"/>
        </w:rPr>
        <w:t>因此本项目</w:t>
      </w:r>
      <w:r>
        <w:rPr>
          <w:rFonts w:hint="eastAsia" w:ascii="Times New Roman" w:hAnsi="Times New Roman" w:eastAsia="宋体" w:cs="Times New Roman"/>
          <w:b w:val="0"/>
          <w:bCs w:val="0"/>
          <w:sz w:val="24"/>
          <w:lang w:eastAsia="zh-CN"/>
        </w:rPr>
        <w:t>无废水外排。</w:t>
      </w:r>
    </w:p>
    <w:p>
      <w:pPr>
        <w:pStyle w:val="149"/>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eastAsia="宋体" w:cs="宋体"/>
          <w:b/>
          <w:bCs/>
          <w:color w:val="auto"/>
          <w:sz w:val="28"/>
          <w:szCs w:val="28"/>
          <w:lang w:val="en-US" w:eastAsia="zh-CN"/>
        </w:rPr>
      </w:pPr>
      <w:bookmarkStart w:id="26" w:name="_Toc30493"/>
      <w:r>
        <w:rPr>
          <w:rFonts w:hint="eastAsia" w:ascii="Times New Roman" w:hAnsi="Times New Roman" w:eastAsia="宋体" w:cs="宋体"/>
          <w:b/>
          <w:bCs/>
          <w:color w:val="auto"/>
          <w:sz w:val="28"/>
          <w:szCs w:val="28"/>
          <w:lang w:val="en-US" w:eastAsia="zh-CN"/>
        </w:rPr>
        <w:t>4.1.2废气</w:t>
      </w:r>
      <w:bookmarkEnd w:id="26"/>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auto"/>
        <w:rPr>
          <w:rFonts w:hint="default" w:ascii="Times New Roman" w:hAnsi="Times New Roman" w:eastAsia="宋体" w:cs="Times New Roman"/>
          <w:sz w:val="24"/>
        </w:rPr>
      </w:pPr>
      <w:bookmarkStart w:id="27" w:name="_Toc53501994"/>
      <w:bookmarkStart w:id="28" w:name="_Toc48659614"/>
      <w:r>
        <w:rPr>
          <w:rFonts w:hint="default" w:ascii="Times New Roman" w:hAnsi="Times New Roman" w:eastAsia="宋体" w:cs="Times New Roman"/>
          <w:sz w:val="24"/>
        </w:rPr>
        <w:t>废气主要来自于废旧塑料熔融挤出过程产生的有机废气，以</w:t>
      </w:r>
      <w:r>
        <w:rPr>
          <w:rFonts w:hint="default" w:ascii="Times New Roman" w:hAnsi="Times New Roman" w:eastAsia="宋体" w:cs="Times New Roman"/>
          <w:sz w:val="24"/>
          <w:lang w:val="en-US" w:eastAsia="zh-CN"/>
        </w:rPr>
        <w:t>非甲烷总烃</w:t>
      </w:r>
      <w:r>
        <w:rPr>
          <w:rFonts w:hint="default" w:ascii="Times New Roman" w:hAnsi="Times New Roman" w:eastAsia="宋体" w:cs="Times New Roman"/>
          <w:sz w:val="24"/>
        </w:rPr>
        <w:t>表征。</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w:t>
      </w:r>
      <w:r>
        <w:rPr>
          <w:rFonts w:hint="eastAsia" w:ascii="Times New Roman" w:hAnsi="Times New Roman" w:eastAsia="宋体" w:cs="Times New Roman"/>
          <w:color w:val="auto"/>
          <w:sz w:val="24"/>
          <w:lang w:eastAsia="zh-CN"/>
        </w:rPr>
        <w:t>将生产区进行全封闭式处理，同时</w:t>
      </w:r>
      <w:r>
        <w:rPr>
          <w:rFonts w:hint="default" w:ascii="Times New Roman" w:hAnsi="Times New Roman" w:eastAsia="宋体" w:cs="Times New Roman"/>
          <w:color w:val="auto"/>
          <w:sz w:val="24"/>
        </w:rPr>
        <w:t>在每条生产线挤出机</w:t>
      </w:r>
      <w:r>
        <w:rPr>
          <w:rFonts w:hint="default" w:ascii="Times New Roman" w:hAnsi="Times New Roman" w:eastAsia="宋体" w:cs="Times New Roman"/>
          <w:color w:val="auto"/>
          <w:sz w:val="24"/>
          <w:lang w:eastAsia="zh-CN"/>
        </w:rPr>
        <w:t>排气口</w:t>
      </w:r>
      <w:r>
        <w:rPr>
          <w:rFonts w:hint="default" w:ascii="Times New Roman" w:hAnsi="Times New Roman" w:eastAsia="宋体" w:cs="Times New Roman"/>
          <w:color w:val="auto"/>
          <w:sz w:val="24"/>
        </w:rPr>
        <w:t>、检查口及螺杆挤出口上方各安装集气罩（0.</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m×0.</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m，3个），</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条生产线合计</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个集气罩。有机废气经集气罩收集后</w:t>
      </w:r>
      <w:r>
        <w:rPr>
          <w:rFonts w:hint="eastAsia" w:ascii="Times New Roman" w:hAnsi="Times New Roman" w:eastAsia="宋体" w:cs="Times New Roman"/>
          <w:color w:val="auto"/>
          <w:sz w:val="24"/>
          <w:lang w:eastAsia="zh-CN"/>
        </w:rPr>
        <w:t>先经</w:t>
      </w:r>
      <w:r>
        <w:rPr>
          <w:rFonts w:hint="eastAsia" w:ascii="Times New Roman" w:hAnsi="Times New Roman" w:eastAsia="宋体" w:cs="Times New Roman"/>
          <w:color w:val="auto"/>
          <w:sz w:val="24"/>
          <w:lang w:val="en-US" w:eastAsia="zh-CN"/>
        </w:rPr>
        <w:t>1套除油装置预处理，主要是为了去除废气中少量高沸点的有机废气，以利于后续废气处理。经预处理后的废气再</w:t>
      </w:r>
      <w:r>
        <w:rPr>
          <w:rFonts w:hint="default" w:ascii="Times New Roman" w:hAnsi="Times New Roman" w:eastAsia="宋体" w:cs="Times New Roman"/>
          <w:color w:val="auto"/>
          <w:sz w:val="24"/>
        </w:rPr>
        <w:t>经</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套“</w:t>
      </w:r>
      <w:r>
        <w:rPr>
          <w:rFonts w:hint="eastAsia" w:ascii="Times New Roman" w:hAnsi="Times New Roman" w:eastAsia="宋体" w:cs="Times New Roman"/>
          <w:color w:val="auto"/>
          <w:sz w:val="24"/>
          <w:lang w:eastAsia="zh-CN"/>
        </w:rPr>
        <w:t>高压静电</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活性炭吸附</w:t>
      </w:r>
      <w:r>
        <w:rPr>
          <w:rFonts w:hint="default" w:ascii="Times New Roman" w:hAnsi="Times New Roman" w:eastAsia="宋体" w:cs="Times New Roman"/>
          <w:color w:val="auto"/>
          <w:sz w:val="24"/>
        </w:rPr>
        <w:t>”装置（1套废气处理装置，配套</w:t>
      </w:r>
      <w:r>
        <w:rPr>
          <w:rFonts w:hint="default" w:ascii="Times New Roman" w:hAnsi="Times New Roman" w:eastAsia="宋体" w:cs="Times New Roman"/>
          <w:color w:val="auto"/>
          <w:sz w:val="24"/>
          <w:lang w:val="en-US" w:eastAsia="zh-CN"/>
        </w:rPr>
        <w:t>1个风机，</w:t>
      </w:r>
      <w:r>
        <w:rPr>
          <w:rFonts w:hint="default" w:ascii="Times New Roman" w:hAnsi="Times New Roman" w:eastAsia="宋体" w:cs="Times New Roman"/>
          <w:color w:val="auto"/>
          <w:sz w:val="24"/>
        </w:rPr>
        <w:t>风机风量为</w:t>
      </w:r>
      <w:r>
        <w:rPr>
          <w:rFonts w:hint="eastAsia" w:ascii="Times New Roman" w:hAnsi="Times New Roman" w:eastAsia="宋体" w:cs="Times New Roman"/>
          <w:color w:val="auto"/>
          <w:sz w:val="24"/>
          <w:lang w:val="en-US" w:eastAsia="zh-CN"/>
        </w:rPr>
        <w:t>10000</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/h，）处理，尾气通过1根15m高排气筒排放。</w:t>
      </w:r>
    </w:p>
    <w:p>
      <w:pPr>
        <w:keepNext/>
        <w:keepLines/>
        <w:pageBreakBefore w:val="0"/>
        <w:widowControl w:val="0"/>
        <w:kinsoku/>
        <w:wordWrap/>
        <w:overflowPunct/>
        <w:topLinePunct w:val="0"/>
        <w:autoSpaceDE/>
        <w:autoSpaceDN/>
        <w:bidi w:val="0"/>
        <w:adjustRightInd/>
        <w:snapToGrid/>
        <w:spacing w:line="360" w:lineRule="auto"/>
        <w:ind w:firstLine="435"/>
        <w:textAlignment w:val="auto"/>
        <w:outlineLvl w:val="9"/>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废气处理设施如下：</w:t>
      </w:r>
    </w:p>
    <w:p>
      <w:pPr>
        <w:pStyle w:val="36"/>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default" w:ascii="Times New Roman" w:hAnsi="Times New Roman" w:eastAsia="宋体"/>
          <w:lang w:val="en-US" w:eastAsia="zh-CN"/>
        </w:rPr>
      </w:pPr>
      <w:r>
        <w:rPr>
          <w:rFonts w:hint="eastAsia" w:ascii="Times New Roman" w:hAnsi="Times New Roman" w:eastAsia="宋体"/>
          <w:lang w:val="en-US" w:eastAsia="zh-CN"/>
        </w:rPr>
        <w:t xml:space="preserve"> </w:t>
      </w:r>
      <w:r>
        <w:rPr>
          <w:rFonts w:hint="eastAsia" w:ascii="Times New Roman" w:hAnsi="Times New Roman" w:eastAsia="宋体"/>
          <w:lang w:val="en-US" w:eastAsia="zh-CN"/>
        </w:rPr>
        <w:drawing>
          <wp:inline distT="0" distB="0" distL="114300" distR="114300">
            <wp:extent cx="2564130" cy="2742565"/>
            <wp:effectExtent l="0" t="0" r="635" b="7620"/>
            <wp:docPr id="13" name="图片 13" descr="微信图片_2020123016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01230163623"/>
                    <pic:cNvPicPr>
                      <a:picLocks noChangeAspect="1"/>
                    </pic:cNvPicPr>
                  </pic:nvPicPr>
                  <pic:blipFill>
                    <a:blip r:embed="rId23"/>
                    <a:srcRect l="6767" r="13784"/>
                    <a:stretch>
                      <a:fillRect/>
                    </a:stretch>
                  </pic:blipFill>
                  <pic:spPr>
                    <a:xfrm rot="5400000">
                      <a:off x="0" y="0"/>
                      <a:ext cx="2564130" cy="2742565"/>
                    </a:xfrm>
                    <a:prstGeom prst="rect">
                      <a:avLst/>
                    </a:prstGeom>
                  </pic:spPr>
                </pic:pic>
              </a:graphicData>
            </a:graphic>
          </wp:inline>
        </w:drawing>
      </w:r>
      <w:r>
        <w:rPr>
          <w:rFonts w:hint="eastAsia" w:ascii="Times New Roman" w:hAnsi="Times New Roman" w:eastAsia="宋体"/>
          <w:lang w:val="en-US" w:eastAsia="zh-CN"/>
        </w:rPr>
        <w:t xml:space="preserve">   </w:t>
      </w:r>
      <w:r>
        <w:rPr>
          <w:rFonts w:hint="default" w:ascii="Times New Roman" w:hAnsi="Times New Roman" w:eastAsia="宋体"/>
          <w:lang w:val="en-US" w:eastAsia="zh-CN"/>
        </w:rPr>
        <w:drawing>
          <wp:inline distT="0" distB="0" distL="114300" distR="114300">
            <wp:extent cx="2929255" cy="2362200"/>
            <wp:effectExtent l="0" t="0" r="0" b="4445"/>
            <wp:docPr id="14" name="图片 14" descr="微信图片_2020123016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01230163620"/>
                    <pic:cNvPicPr>
                      <a:picLocks noChangeAspect="1"/>
                    </pic:cNvPicPr>
                  </pic:nvPicPr>
                  <pic:blipFill>
                    <a:blip r:embed="rId24"/>
                    <a:srcRect l="6046" t="17647" r="17320"/>
                    <a:stretch>
                      <a:fillRect/>
                    </a:stretch>
                  </pic:blipFill>
                  <pic:spPr>
                    <a:xfrm rot="5400000">
                      <a:off x="0" y="0"/>
                      <a:ext cx="2929255" cy="2362200"/>
                    </a:xfrm>
                    <a:prstGeom prst="rect">
                      <a:avLst/>
                    </a:prstGeom>
                  </pic:spPr>
                </pic:pic>
              </a:graphicData>
            </a:graphic>
          </wp:inline>
        </w:drawing>
      </w:r>
    </w:p>
    <w:p>
      <w:pPr>
        <w:pStyle w:val="36"/>
        <w:ind w:firstLine="843" w:firstLineChars="400"/>
        <w:rPr>
          <w:rFonts w:hint="eastAsia"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车间废气收集管道</w:t>
      </w:r>
    </w:p>
    <w:p>
      <w:pPr>
        <w:pStyle w:val="36"/>
        <w:ind w:firstLine="843" w:firstLineChars="4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t xml:space="preserve">15m高排气筒  </w:t>
      </w:r>
    </w:p>
    <w:p>
      <w:pPr>
        <w:pStyle w:val="36"/>
        <w:ind w:firstLine="6114" w:firstLineChars="29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p>
    <w:p>
      <w:pPr>
        <w:pStyle w:val="36"/>
        <w:ind w:firstLine="6114" w:firstLineChars="2900"/>
        <w:rPr>
          <w:rFonts w:hint="eastAsia" w:ascii="Times New Roman" w:hAnsi="Times New Roman" w:eastAsia="宋体"/>
          <w:b/>
          <w:bCs/>
          <w:sz w:val="21"/>
          <w:szCs w:val="21"/>
          <w:lang w:val="en-US" w:eastAsia="zh-CN"/>
        </w:rPr>
      </w:pPr>
    </w:p>
    <w:p>
      <w:pPr>
        <w:pStyle w:val="36"/>
        <w:keepNext w:val="0"/>
        <w:keepLines w:val="0"/>
        <w:pageBreakBefore w:val="0"/>
        <w:widowControl w:val="0"/>
        <w:kinsoku/>
        <w:wordWrap/>
        <w:overflowPunct/>
        <w:topLinePunct w:val="0"/>
        <w:autoSpaceDE w:val="0"/>
        <w:autoSpaceDN w:val="0"/>
        <w:bidi w:val="0"/>
        <w:adjustRightInd w:val="0"/>
        <w:snapToGrid/>
        <w:ind w:firstLine="0" w:firstLineChars="0"/>
        <w:jc w:val="center"/>
        <w:textAlignment w:val="auto"/>
        <w:rPr>
          <w:rFonts w:hint="default" w:ascii="Times New Roman" w:hAnsi="Times New Roman" w:eastAsia="宋体"/>
          <w:b/>
          <w:bCs/>
          <w:sz w:val="21"/>
          <w:szCs w:val="21"/>
          <w:lang w:val="en-US" w:eastAsia="zh-CN"/>
        </w:rPr>
      </w:pPr>
      <w:r>
        <w:rPr>
          <w:rFonts w:hint="eastAsia" w:ascii="Times New Roman" w:hAnsi="Times New Roman" w:eastAsia="宋体"/>
          <w:b/>
          <w:bCs/>
          <w:sz w:val="21"/>
          <w:szCs w:val="21"/>
          <w:lang w:val="en-US" w:eastAsia="zh-CN"/>
        </w:rPr>
        <w:drawing>
          <wp:inline distT="0" distB="0" distL="114300" distR="114300">
            <wp:extent cx="4276090" cy="7134225"/>
            <wp:effectExtent l="0" t="0" r="10160" b="9525"/>
            <wp:docPr id="17" name="图片 17" descr="微信图片_2020123016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01230163615"/>
                    <pic:cNvPicPr>
                      <a:picLocks noChangeAspect="1"/>
                    </pic:cNvPicPr>
                  </pic:nvPicPr>
                  <pic:blipFill>
                    <a:blip r:embed="rId25"/>
                    <a:srcRect b="5905"/>
                    <a:stretch>
                      <a:fillRect/>
                    </a:stretch>
                  </pic:blipFill>
                  <pic:spPr>
                    <a:xfrm>
                      <a:off x="0" y="0"/>
                      <a:ext cx="4276090" cy="7134225"/>
                    </a:xfrm>
                    <a:prstGeom prst="rect">
                      <a:avLst/>
                    </a:prstGeom>
                  </pic:spPr>
                </pic:pic>
              </a:graphicData>
            </a:graphic>
          </wp:inline>
        </w:drawing>
      </w:r>
    </w:p>
    <w:p>
      <w:pPr>
        <w:keepNext/>
        <w:keepLines/>
        <w:pageBreakBefore w:val="0"/>
        <w:widowControl w:val="0"/>
        <w:kinsoku/>
        <w:wordWrap/>
        <w:overflowPunct/>
        <w:topLinePunct w:val="0"/>
        <w:autoSpaceDE/>
        <w:autoSpaceDN/>
        <w:bidi w:val="0"/>
        <w:adjustRightInd/>
        <w:snapToGrid/>
        <w:spacing w:line="360" w:lineRule="auto"/>
        <w:jc w:val="center"/>
        <w:textAlignment w:val="auto"/>
        <w:outlineLvl w:val="9"/>
        <w:rPr>
          <w:rFonts w:ascii="Times New Roman" w:hAnsi="Times New Roman" w:eastAsia="宋体"/>
          <w:color w:val="auto"/>
        </w:rPr>
      </w:pPr>
      <w:r>
        <w:rPr>
          <w:rFonts w:hint="eastAsia" w:ascii="Times New Roman" w:hAnsi="Times New Roman" w:eastAsia="宋体"/>
          <w:b/>
          <w:bCs/>
          <w:color w:val="auto"/>
          <w:lang w:eastAsia="zh-CN"/>
        </w:rPr>
        <w:t>活性炭吸附装置</w:t>
      </w:r>
    </w:p>
    <w:p>
      <w:pPr>
        <w:pStyle w:val="5"/>
        <w:keepNext/>
        <w:keepLines/>
        <w:pageBreakBefore w:val="0"/>
        <w:widowControl w:val="0"/>
        <w:kinsoku/>
        <w:wordWrap/>
        <w:overflowPunct/>
        <w:topLinePunct w:val="0"/>
        <w:autoSpaceDE/>
        <w:autoSpaceDN/>
        <w:bidi w:val="0"/>
        <w:adjustRightInd/>
        <w:snapToGrid/>
        <w:spacing w:line="360" w:lineRule="auto"/>
        <w:ind w:firstLine="0" w:firstLineChars="0"/>
        <w:textAlignment w:val="auto"/>
        <w:rPr>
          <w:rFonts w:ascii="Times New Roman" w:hAnsi="Times New Roman" w:eastAsia="宋体"/>
          <w:color w:val="auto"/>
        </w:rPr>
      </w:pPr>
      <w:bookmarkStart w:id="29" w:name="_Toc4799"/>
      <w:r>
        <w:rPr>
          <w:rFonts w:ascii="Times New Roman" w:hAnsi="Times New Roman" w:eastAsia="宋体"/>
          <w:color w:val="auto"/>
        </w:rPr>
        <w:t>4.</w:t>
      </w:r>
      <w:r>
        <w:rPr>
          <w:rFonts w:hint="eastAsia" w:ascii="Times New Roman" w:hAnsi="Times New Roman" w:eastAsia="宋体"/>
          <w:color w:val="auto"/>
          <w:lang w:val="en-US" w:eastAsia="zh-CN"/>
        </w:rPr>
        <w:t>1</w:t>
      </w:r>
      <w:r>
        <w:rPr>
          <w:rFonts w:ascii="Times New Roman" w:hAnsi="Times New Roman" w:eastAsia="宋体"/>
          <w:color w:val="auto"/>
        </w:rPr>
        <w:t>.3</w:t>
      </w:r>
      <w:r>
        <w:rPr>
          <w:rFonts w:hint="eastAsia" w:ascii="Times New Roman" w:hAnsi="Times New Roman" w:eastAsia="宋体"/>
          <w:color w:val="auto"/>
        </w:rPr>
        <w:t>噪声</w:t>
      </w:r>
      <w:bookmarkEnd w:id="27"/>
      <w:bookmarkEnd w:id="28"/>
      <w:bookmarkEnd w:id="29"/>
    </w:p>
    <w:p>
      <w:pPr>
        <w:pStyle w:val="104"/>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kern w:val="0"/>
          <w:szCs w:val="24"/>
          <w:highlight w:val="yellow"/>
        </w:rPr>
      </w:pPr>
      <w:r>
        <w:rPr>
          <w:rFonts w:hint="eastAsia" w:ascii="Times New Roman" w:hAnsi="Times New Roman" w:eastAsia="宋体"/>
        </w:rPr>
        <w:t>本项目运营期产生的噪声</w:t>
      </w:r>
      <w:r>
        <w:rPr>
          <w:rFonts w:hint="default" w:ascii="Times New Roman" w:hAnsi="Times New Roman" w:eastAsia="宋体" w:cs="Times New Roman"/>
          <w:sz w:val="24"/>
        </w:rPr>
        <w:t>主要是挤出机、切粒机、风机等设备运行过程中产生的噪声</w:t>
      </w:r>
      <w:r>
        <w:rPr>
          <w:rFonts w:hint="eastAsia" w:ascii="Times New Roman" w:hAnsi="Times New Roman" w:eastAsia="宋体"/>
          <w:lang w:eastAsia="zh-CN"/>
        </w:rPr>
        <w:t>，</w:t>
      </w:r>
      <w:r>
        <w:rPr>
          <w:rFonts w:hint="eastAsia" w:ascii="Times New Roman" w:hAnsi="Times New Roman" w:eastAsia="宋体"/>
        </w:rPr>
        <w:t>噪声</w:t>
      </w:r>
      <w:r>
        <w:rPr>
          <w:rFonts w:hint="eastAsia" w:ascii="Times New Roman" w:hAnsi="Times New Roman" w:eastAsia="宋体"/>
          <w:kern w:val="0"/>
          <w:szCs w:val="24"/>
        </w:rPr>
        <w:t>主要采取以下措施治理：</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rPr>
      </w:pPr>
      <w:r>
        <w:rPr>
          <w:rFonts w:hint="default" w:ascii="Times New Roman" w:hAnsi="Times New Roman" w:eastAsia="宋体" w:cs="Times New Roman"/>
          <w:spacing w:val="4"/>
          <w:sz w:val="24"/>
        </w:rPr>
        <w:t>（1）选用环保、低噪音型设备，车间内各设备合理布置，并针对声源特性分别采取消声、隔声、减振基础等措施，如设备安装时注意减振措施设计，在定位装置设备与</w:t>
      </w:r>
      <w:r>
        <w:rPr>
          <w:rFonts w:hint="default" w:ascii="Times New Roman" w:hAnsi="Times New Roman" w:eastAsia="宋体" w:cs="Times New Roman"/>
          <w:spacing w:val="4"/>
          <w:sz w:val="24"/>
          <w:lang w:val="en-US" w:eastAsia="zh-CN"/>
        </w:rPr>
        <w:t>地面</w:t>
      </w:r>
      <w:r>
        <w:rPr>
          <w:rFonts w:hint="default" w:ascii="Times New Roman" w:hAnsi="Times New Roman" w:eastAsia="宋体" w:cs="Times New Roman"/>
          <w:spacing w:val="4"/>
          <w:sz w:val="24"/>
        </w:rPr>
        <w:t>之间垫减振材料，设备基础与墙体、地坪之间适当设置减振</w:t>
      </w:r>
      <w:r>
        <w:rPr>
          <w:rFonts w:hint="default" w:ascii="Times New Roman" w:hAnsi="Times New Roman" w:eastAsia="宋体" w:cs="Times New Roman"/>
          <w:color w:val="auto"/>
          <w:spacing w:val="4"/>
          <w:sz w:val="24"/>
        </w:rPr>
        <w:t>沟，减少振动噪声的传播；对机器进行定期检查，防止由于机器不正常运转时产生的噪声。</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rPr>
      </w:pPr>
      <w:r>
        <w:rPr>
          <w:rFonts w:hint="default" w:ascii="Times New Roman" w:hAnsi="Times New Roman" w:eastAsia="宋体" w:cs="Times New Roman"/>
          <w:color w:val="auto"/>
          <w:spacing w:val="4"/>
          <w:sz w:val="24"/>
        </w:rPr>
        <w:t>（2）厂房做隔声处理，安装隔声门窗；</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lang w:eastAsia="zh-CN"/>
        </w:rPr>
      </w:pPr>
      <w:r>
        <w:rPr>
          <w:rFonts w:hint="default" w:ascii="Times New Roman" w:hAnsi="Times New Roman" w:eastAsia="宋体" w:cs="Times New Roman"/>
          <w:color w:val="auto"/>
          <w:spacing w:val="4"/>
          <w:sz w:val="24"/>
        </w:rPr>
        <w:t>（3）车间风机选用低噪声、振动小的设备，放置在车间内。对各类风机的进、出口处安装阻性消声器，并在机组与地基之间安置减震器，在风机与排气筒之间设置软连接，对风机采取配套的通风散热装置设置消声器，对废气排气筒设置排气消声器</w:t>
      </w:r>
      <w:r>
        <w:rPr>
          <w:rFonts w:hint="default" w:ascii="Times New Roman" w:hAnsi="Times New Roman" w:eastAsia="宋体" w:cs="Times New Roman"/>
          <w:color w:val="auto"/>
          <w:spacing w:val="4"/>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spacing w:val="4"/>
          <w:sz w:val="24"/>
          <w:lang w:eastAsia="zh-CN"/>
        </w:rPr>
      </w:pPr>
      <w:r>
        <w:rPr>
          <w:rFonts w:hint="default" w:ascii="Times New Roman" w:hAnsi="Times New Roman" w:eastAsia="宋体" w:cs="Times New Roman"/>
          <w:color w:val="auto"/>
          <w:spacing w:val="4"/>
          <w:sz w:val="24"/>
        </w:rPr>
        <w:t>（4）对大噪声设</w:t>
      </w:r>
      <w:r>
        <w:rPr>
          <w:rFonts w:hint="default" w:ascii="Times New Roman" w:hAnsi="Times New Roman" w:eastAsia="宋体" w:cs="Times New Roman"/>
          <w:spacing w:val="4"/>
          <w:sz w:val="24"/>
        </w:rPr>
        <w:t>备</w:t>
      </w:r>
      <w:r>
        <w:rPr>
          <w:rFonts w:hint="default" w:ascii="Times New Roman" w:hAnsi="Times New Roman" w:eastAsia="宋体" w:cs="Times New Roman"/>
          <w:spacing w:val="4"/>
          <w:sz w:val="24"/>
          <w:lang w:eastAsia="zh-CN"/>
        </w:rPr>
        <w:t>如</w:t>
      </w:r>
      <w:r>
        <w:rPr>
          <w:rFonts w:hint="default" w:ascii="Times New Roman" w:hAnsi="Times New Roman" w:eastAsia="宋体" w:cs="Times New Roman"/>
          <w:spacing w:val="4"/>
          <w:sz w:val="24"/>
        </w:rPr>
        <w:t>空压</w:t>
      </w:r>
      <w:r>
        <w:rPr>
          <w:rFonts w:hint="default" w:ascii="Times New Roman" w:hAnsi="Times New Roman" w:eastAsia="宋体" w:cs="Times New Roman"/>
          <w:spacing w:val="4"/>
          <w:sz w:val="24"/>
          <w:lang w:eastAsia="zh-CN"/>
        </w:rPr>
        <w:t>机设独立设备间，</w:t>
      </w:r>
      <w:r>
        <w:rPr>
          <w:rFonts w:hint="default" w:ascii="Times New Roman" w:hAnsi="Times New Roman" w:eastAsia="宋体" w:cs="Times New Roman"/>
          <w:spacing w:val="4"/>
          <w:sz w:val="24"/>
        </w:rPr>
        <w:t>安装减震基座等，主体采用减振基础，吸气口加装消声器，储气缸涂阻尼吸声材料</w:t>
      </w:r>
      <w:r>
        <w:rPr>
          <w:rFonts w:hint="default" w:ascii="Times New Roman" w:hAnsi="Times New Roman" w:eastAsia="宋体" w:cs="Times New Roman"/>
          <w:spacing w:val="4"/>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sz w:val="24"/>
        </w:rPr>
      </w:pPr>
      <w:r>
        <w:rPr>
          <w:rFonts w:hint="default" w:ascii="Times New Roman" w:hAnsi="Times New Roman" w:eastAsia="宋体" w:cs="Times New Roman"/>
          <w:spacing w:val="4"/>
          <w:sz w:val="24"/>
        </w:rPr>
        <w:t>（</w:t>
      </w:r>
      <w:r>
        <w:rPr>
          <w:rFonts w:hint="default" w:ascii="Times New Roman" w:hAnsi="Times New Roman" w:eastAsia="宋体" w:cs="Times New Roman"/>
          <w:spacing w:val="4"/>
          <w:sz w:val="24"/>
          <w:lang w:val="en-US" w:eastAsia="zh-CN"/>
        </w:rPr>
        <w:t>5</w:t>
      </w:r>
      <w:r>
        <w:rPr>
          <w:rFonts w:hint="default" w:ascii="Times New Roman" w:hAnsi="Times New Roman" w:eastAsia="宋体" w:cs="Times New Roman"/>
          <w:spacing w:val="4"/>
          <w:sz w:val="24"/>
        </w:rPr>
        <w:t>）对厂区进行合理布局，高噪声源设备远离厂区边界，厂区周围设置有绿化带。</w:t>
      </w:r>
    </w:p>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30" w:name="_Toc53501995"/>
      <w:bookmarkStart w:id="31" w:name="_Toc22083"/>
      <w:bookmarkStart w:id="32" w:name="_Toc48659615"/>
      <w:r>
        <w:rPr>
          <w:rFonts w:hint="eastAsia" w:ascii="Times New Roman" w:hAnsi="Times New Roman" w:eastAsia="宋体"/>
          <w:color w:val="auto"/>
        </w:rPr>
        <w:t>4</w:t>
      </w:r>
      <w:r>
        <w:rPr>
          <w:rFonts w:ascii="Times New Roman" w:hAnsi="Times New Roman" w:eastAsia="宋体"/>
          <w:color w:val="auto"/>
        </w:rPr>
        <w:t>.</w:t>
      </w:r>
      <w:r>
        <w:rPr>
          <w:rFonts w:hint="eastAsia" w:ascii="Times New Roman" w:hAnsi="Times New Roman" w:eastAsia="宋体"/>
          <w:color w:val="auto"/>
          <w:lang w:val="en-US" w:eastAsia="zh-CN"/>
        </w:rPr>
        <w:t>1</w:t>
      </w:r>
      <w:r>
        <w:rPr>
          <w:rFonts w:ascii="Times New Roman" w:hAnsi="Times New Roman" w:eastAsia="宋体"/>
          <w:color w:val="auto"/>
        </w:rPr>
        <w:t>.4固体废物</w:t>
      </w:r>
      <w:bookmarkEnd w:id="30"/>
      <w:bookmarkEnd w:id="31"/>
      <w:bookmarkEnd w:id="32"/>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bookmarkStart w:id="33" w:name="_Toc507454871"/>
      <w:r>
        <w:rPr>
          <w:rFonts w:hint="eastAsia" w:ascii="Times New Roman" w:hAnsi="Times New Roman" w:eastAsia="宋体"/>
        </w:rPr>
        <w:t>本项目运营期产生的固体废物主要为</w:t>
      </w:r>
      <w:r>
        <w:rPr>
          <w:rFonts w:hint="eastAsia" w:ascii="Times New Roman" w:hAnsi="Times New Roman" w:eastAsia="宋体"/>
          <w:szCs w:val="24"/>
        </w:rPr>
        <w:t>定期更换的</w:t>
      </w:r>
      <w:r>
        <w:rPr>
          <w:rFonts w:hint="default" w:ascii="Times New Roman" w:hAnsi="Times New Roman" w:eastAsia="宋体" w:cs="Times New Roman"/>
          <w:sz w:val="24"/>
        </w:rPr>
        <w:t>废过滤网（含滤渣）</w:t>
      </w:r>
      <w:r>
        <w:rPr>
          <w:rFonts w:hint="eastAsia" w:ascii="Times New Roman" w:hAnsi="Times New Roman" w:eastAsia="宋体" w:cs="Times New Roman"/>
          <w:sz w:val="24"/>
          <w:lang w:eastAsia="zh-CN"/>
        </w:rPr>
        <w:t>、</w:t>
      </w:r>
      <w:r>
        <w:rPr>
          <w:rFonts w:hint="default" w:ascii="Times New Roman" w:hAnsi="Times New Roman" w:eastAsia="宋体" w:cs="Times New Roman"/>
          <w:kern w:val="0"/>
          <w:sz w:val="24"/>
          <w:lang w:eastAsia="zh-CN"/>
        </w:rPr>
        <w:t>废油脂</w:t>
      </w:r>
      <w:r>
        <w:rPr>
          <w:rFonts w:hint="eastAsia" w:ascii="Times New Roman" w:hAnsi="Times New Roman" w:eastAsia="宋体" w:cs="Times New Roman"/>
          <w:kern w:val="0"/>
          <w:sz w:val="24"/>
          <w:lang w:eastAsia="zh-CN"/>
        </w:rPr>
        <w:t>、废活性炭以及生活垃圾。</w:t>
      </w:r>
      <w:r>
        <w:rPr>
          <w:rFonts w:hint="eastAsia" w:ascii="Times New Roman" w:hAnsi="Times New Roman" w:eastAsia="宋体"/>
          <w:szCs w:val="24"/>
        </w:rPr>
        <w:t>树脂填料和废气处理产生的废活性炭纤维。</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rPr>
      </w:pPr>
      <w:r>
        <w:rPr>
          <w:rFonts w:hint="eastAsia" w:ascii="Times New Roman" w:hAnsi="Times New Roman" w:eastAsia="宋体"/>
          <w:lang w:eastAsia="zh-CN"/>
        </w:rPr>
        <w:t>生活垃圾交由环卫部门处置；</w:t>
      </w:r>
      <w:r>
        <w:rPr>
          <w:rFonts w:hint="default" w:ascii="Times New Roman" w:hAnsi="Times New Roman" w:eastAsia="宋体" w:cs="Times New Roman"/>
          <w:sz w:val="24"/>
        </w:rPr>
        <w:t>废过滤网（含滤渣）</w:t>
      </w:r>
      <w:r>
        <w:rPr>
          <w:rFonts w:hint="eastAsia" w:ascii="Times New Roman" w:hAnsi="Times New Roman" w:eastAsia="宋体" w:cs="Times New Roman"/>
          <w:sz w:val="24"/>
          <w:lang w:eastAsia="zh-CN"/>
        </w:rPr>
        <w:t>、</w:t>
      </w:r>
      <w:r>
        <w:rPr>
          <w:rFonts w:hint="default" w:ascii="Times New Roman" w:hAnsi="Times New Roman" w:eastAsia="宋体" w:cs="Times New Roman"/>
          <w:kern w:val="0"/>
          <w:sz w:val="24"/>
          <w:lang w:eastAsia="zh-CN"/>
        </w:rPr>
        <w:t>废油脂</w:t>
      </w:r>
      <w:r>
        <w:rPr>
          <w:rFonts w:hint="eastAsia" w:ascii="Times New Roman" w:hAnsi="Times New Roman" w:eastAsia="宋体" w:cs="Times New Roman"/>
          <w:kern w:val="0"/>
          <w:sz w:val="24"/>
          <w:lang w:eastAsia="zh-CN"/>
        </w:rPr>
        <w:t>、废活性炭</w:t>
      </w:r>
      <w:r>
        <w:rPr>
          <w:rFonts w:hint="eastAsia" w:ascii="Times New Roman" w:hAnsi="Times New Roman" w:eastAsia="宋体"/>
        </w:rPr>
        <w:t>均属于危险废物，产生后暂存在厂区危废暂存库中，最后</w:t>
      </w:r>
      <w:r>
        <w:rPr>
          <w:rFonts w:hint="eastAsia" w:ascii="Times New Roman" w:hAnsi="Times New Roman" w:eastAsia="宋体"/>
          <w:lang w:eastAsia="zh-CN"/>
        </w:rPr>
        <w:t>交由安徽浩越环境科技有限责任公司（危险废物处置合同见附件</w:t>
      </w:r>
      <w:r>
        <w:rPr>
          <w:rFonts w:hint="eastAsia" w:ascii="Times New Roman" w:hAnsi="Times New Roman" w:eastAsia="宋体"/>
          <w:lang w:val="en-US" w:eastAsia="zh-CN"/>
        </w:rPr>
        <w:t>4）处理</w:t>
      </w:r>
      <w:r>
        <w:rPr>
          <w:rFonts w:hint="eastAsia" w:ascii="Times New Roman" w:hAnsi="Times New Roman" w:eastAsia="宋体"/>
        </w:rPr>
        <w:t>。危废</w:t>
      </w:r>
      <w:r>
        <w:rPr>
          <w:rFonts w:hint="eastAsia" w:ascii="Times New Roman" w:hAnsi="Times New Roman" w:eastAsia="宋体"/>
          <w:lang w:eastAsia="zh-CN"/>
        </w:rPr>
        <w:t>暂存库</w:t>
      </w:r>
      <w:r>
        <w:rPr>
          <w:rFonts w:hint="default" w:ascii="Times New Roman" w:hAnsi="Times New Roman" w:eastAsia="宋体" w:cs="Times New Roman"/>
          <w:szCs w:val="21"/>
        </w:rPr>
        <w:t>位于生产车间</w:t>
      </w:r>
      <w:r>
        <w:rPr>
          <w:rFonts w:hint="eastAsia" w:cs="Times New Roman"/>
          <w:szCs w:val="21"/>
          <w:lang w:val="en-US" w:eastAsia="zh-CN"/>
        </w:rPr>
        <w:t>北</w:t>
      </w:r>
      <w:r>
        <w:rPr>
          <w:rFonts w:hint="default" w:ascii="Times New Roman" w:hAnsi="Times New Roman" w:eastAsia="宋体" w:cs="Times New Roman"/>
          <w:szCs w:val="21"/>
        </w:rPr>
        <w:t>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vertAlign w:val="baseline"/>
        </w:rPr>
        <w:t>，一次最大存储量5t</w:t>
      </w:r>
      <w:r>
        <w:rPr>
          <w:rFonts w:hint="eastAsia" w:ascii="Times New Roman" w:hAnsi="Times New Roman" w:eastAsia="宋体"/>
        </w:rPr>
        <w:t>，满足《危险废物贮存污染控制标准》（GB18579-2001）的要求，危险废物按照不同的类别和性质，分别存放于专门的区域和容器中。</w:t>
      </w:r>
    </w:p>
    <w:bookmarkEnd w:id="33"/>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34" w:name="_Toc21419"/>
      <w:bookmarkStart w:id="35" w:name="_Toc23932245"/>
      <w:r>
        <w:rPr>
          <w:rFonts w:hint="eastAsia" w:ascii="Times New Roman" w:hAnsi="Times New Roman" w:eastAsia="宋体"/>
          <w:color w:val="auto"/>
        </w:rPr>
        <w:t>4</w:t>
      </w:r>
      <w:r>
        <w:rPr>
          <w:rFonts w:ascii="Times New Roman" w:hAnsi="Times New Roman" w:eastAsia="宋体"/>
          <w:color w:val="auto"/>
        </w:rPr>
        <w:t>.</w:t>
      </w:r>
      <w:r>
        <w:rPr>
          <w:rFonts w:hint="eastAsia" w:ascii="Times New Roman" w:hAnsi="Times New Roman" w:eastAsia="宋体"/>
          <w:color w:val="auto"/>
          <w:lang w:val="en-US" w:eastAsia="zh-CN"/>
        </w:rPr>
        <w:t>2</w:t>
      </w:r>
      <w:r>
        <w:rPr>
          <w:rFonts w:hint="eastAsia" w:ascii="Times New Roman" w:hAnsi="Times New Roman" w:eastAsia="宋体"/>
          <w:color w:val="auto"/>
        </w:rPr>
        <w:t>其他环境保护设施</w:t>
      </w:r>
      <w:bookmarkEnd w:id="34"/>
    </w:p>
    <w:p>
      <w:pPr>
        <w:pStyle w:val="5"/>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 w:val="28"/>
          <w:szCs w:val="28"/>
          <w:lang w:eastAsia="zh-CN"/>
        </w:rPr>
      </w:pPr>
      <w:bookmarkStart w:id="36" w:name="_Toc8709"/>
      <w:bookmarkStart w:id="37" w:name="_Toc50620031"/>
      <w:bookmarkStart w:id="38" w:name="_Toc53501997"/>
      <w:r>
        <w:rPr>
          <w:rFonts w:hint="eastAsia" w:ascii="Times New Roman" w:hAnsi="Times New Roman" w:eastAsia="宋体"/>
          <w:color w:val="auto"/>
          <w:sz w:val="28"/>
          <w:szCs w:val="28"/>
        </w:rPr>
        <w:t>4.</w:t>
      </w:r>
      <w:r>
        <w:rPr>
          <w:rFonts w:hint="eastAsia" w:ascii="Times New Roman" w:hAnsi="Times New Roman" w:eastAsia="宋体"/>
          <w:color w:val="auto"/>
          <w:sz w:val="28"/>
          <w:szCs w:val="28"/>
          <w:lang w:val="en-US" w:eastAsia="zh-CN"/>
        </w:rPr>
        <w:t>2</w:t>
      </w:r>
      <w:r>
        <w:rPr>
          <w:rFonts w:hint="eastAsia" w:ascii="Times New Roman" w:hAnsi="Times New Roman" w:eastAsia="宋体"/>
          <w:color w:val="auto"/>
          <w:sz w:val="28"/>
          <w:szCs w:val="28"/>
        </w:rPr>
        <w:t>.1</w:t>
      </w:r>
      <w:r>
        <w:rPr>
          <w:rFonts w:hint="eastAsia" w:ascii="Times New Roman" w:hAnsi="Times New Roman" w:eastAsia="宋体"/>
          <w:color w:val="auto"/>
          <w:sz w:val="28"/>
          <w:szCs w:val="28"/>
          <w:lang w:eastAsia="zh-CN"/>
        </w:rPr>
        <w:t>项目风险防范措施</w:t>
      </w:r>
      <w:bookmarkEnd w:id="36"/>
    </w:p>
    <w:p>
      <w:pPr>
        <w:pStyle w:val="8"/>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1）</w:t>
      </w:r>
      <w:r>
        <w:rPr>
          <w:rFonts w:hint="default" w:ascii="Times New Roman" w:hAnsi="Times New Roman" w:eastAsia="宋体" w:cs="Times New Roman"/>
          <w:b w:val="0"/>
          <w:bCs/>
          <w:sz w:val="24"/>
        </w:rPr>
        <w:t>原辅材料及产品风险防范措施</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原材料及产品产品仓库设火灾报警装置，加强照明灯电器防爆设置，严格库内或库附近的动火维修作业制度，加强电线、照明等电器的检查与保养，避免可能产生的火花、明火等。库房门口明显处设置禁止烟火等标识。</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原材料及产品产品仓库设备的防爆性能，并加强保养。严格动火制度，动火维修作业前必须清理干净沉降的生产厂房内的粉尘，停止作业，除尘风机适当开启一段时间，确保无粉尘状态方可作业，避免粉尘爆炸事故。生产厂房明显处设置严禁烟火标识。</w:t>
      </w:r>
    </w:p>
    <w:p>
      <w:pPr>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加强布袋除尘器等除尘设备的保养，定期检查布袋等粉尘处理核心部件，做到班前检查，杜绝因除尘设备的故障而造成的事故排放，造成环境污染事件。禁止除尘设备故障或停机状态配料工作。</w:t>
      </w:r>
    </w:p>
    <w:p>
      <w:pPr>
        <w:pStyle w:val="8"/>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2）</w:t>
      </w:r>
      <w:r>
        <w:rPr>
          <w:rFonts w:hint="default" w:ascii="Times New Roman" w:hAnsi="Times New Roman" w:eastAsia="宋体" w:cs="Times New Roman"/>
          <w:b w:val="0"/>
          <w:bCs/>
          <w:sz w:val="24"/>
        </w:rPr>
        <w:t>固废事故风险防范措施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全厂各种固废分类收集，盛放，临时存放室内固定场所，不被雨淋、风吹、专车运送，所有固废都得到合适的处置或综合利用，危险固废委托有资质的单位处置，废边角料外售，生活垃圾由环卫部门统一收集处理，固废实现“零排放”是有保证的，不会对环境产生二次污染。</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rPr>
      </w:pPr>
      <w:r>
        <w:rPr>
          <w:rFonts w:hint="eastAsia" w:ascii="Times New Roman" w:hAnsi="Times New Roman" w:eastAsia="宋体" w:cs="Times New Roman"/>
          <w:b w:val="0"/>
          <w:bCs/>
          <w:sz w:val="24"/>
          <w:lang w:eastAsia="zh-CN"/>
        </w:rPr>
        <w:t>（</w:t>
      </w:r>
      <w:r>
        <w:rPr>
          <w:rFonts w:hint="eastAsia" w:ascii="Times New Roman" w:hAnsi="Times New Roman" w:eastAsia="宋体" w:cs="Times New Roman"/>
          <w:b w:val="0"/>
          <w:bCs/>
          <w:sz w:val="24"/>
          <w:lang w:val="en-US" w:eastAsia="zh-CN"/>
        </w:rPr>
        <w:t>3）</w:t>
      </w:r>
      <w:r>
        <w:rPr>
          <w:rFonts w:hint="default" w:ascii="Times New Roman" w:hAnsi="Times New Roman" w:eastAsia="宋体" w:cs="Times New Roman"/>
          <w:b w:val="0"/>
          <w:bCs/>
          <w:sz w:val="24"/>
        </w:rPr>
        <w:t>事故废水风险防范措施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lang w:eastAsia="zh-CN"/>
        </w:rPr>
      </w:pPr>
      <w:r>
        <w:rPr>
          <w:rFonts w:hint="eastAsia" w:ascii="Times New Roman" w:hAnsi="Times New Roman" w:eastAsia="宋体" w:cs="Times New Roman"/>
          <w:color w:val="auto"/>
          <w:sz w:val="24"/>
          <w:lang w:eastAsia="zh-CN"/>
        </w:rPr>
        <w:t>企业车间外东南侧</w:t>
      </w:r>
      <w:r>
        <w:rPr>
          <w:rFonts w:hint="default" w:ascii="Times New Roman" w:hAnsi="Times New Roman" w:eastAsia="宋体" w:cs="Times New Roman"/>
          <w:color w:val="auto"/>
          <w:sz w:val="24"/>
        </w:rPr>
        <w:t>设立1个事故应急池</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发生泄露、火灾或爆炸事故时，泄露物、事故伴生、次生消防水能够</w:t>
      </w:r>
      <w:r>
        <w:rPr>
          <w:rFonts w:hint="eastAsia" w:ascii="Times New Roman" w:hAnsi="Times New Roman" w:eastAsia="宋体" w:cs="Times New Roman"/>
          <w:sz w:val="24"/>
          <w:lang w:val="en-US" w:eastAsia="zh-CN"/>
        </w:rPr>
        <w:t>进入导流沟</w:t>
      </w:r>
      <w:r>
        <w:rPr>
          <w:rFonts w:hint="default" w:ascii="Times New Roman" w:hAnsi="Times New Roman" w:eastAsia="宋体" w:cs="Times New Roman"/>
          <w:sz w:val="24"/>
        </w:rPr>
        <w:t>，将泄露物、消防水</w:t>
      </w:r>
      <w:r>
        <w:rPr>
          <w:rFonts w:hint="eastAsia" w:ascii="Times New Roman" w:hAnsi="Times New Roman" w:eastAsia="宋体" w:cs="Times New Roman"/>
          <w:sz w:val="24"/>
          <w:lang w:val="en-US" w:eastAsia="zh-CN"/>
        </w:rPr>
        <w:t>进入导流系统或应急池内</w:t>
      </w:r>
      <w:r>
        <w:rPr>
          <w:rFonts w:hint="default" w:ascii="Times New Roman" w:hAnsi="Times New Roman" w:eastAsia="宋体" w:cs="Times New Roman"/>
          <w:sz w:val="24"/>
        </w:rPr>
        <w:t>；消防废水必须委托有资质的单位安全处置，杜绝以任何形式进入污水管网和雨水管网。</w:t>
      </w:r>
    </w:p>
    <w:p>
      <w:pPr>
        <w:pStyle w:val="9"/>
        <w:rPr>
          <w:rFonts w:hint="eastAsia" w:ascii="Times New Roman" w:hAnsi="Times New Roman" w:eastAsia="宋体"/>
          <w:b/>
          <w:bCs/>
          <w:color w:val="auto"/>
          <w:sz w:val="28"/>
          <w:szCs w:val="28"/>
          <w:lang w:eastAsia="zh-CN"/>
        </w:rPr>
      </w:pPr>
      <w:r>
        <w:rPr>
          <w:rFonts w:hint="eastAsia"/>
          <w:lang w:val="en-US" w:eastAsia="zh-CN"/>
        </w:rPr>
        <w:t xml:space="preserve">                                                                                                                                                                                                                                                                                                                                                                                                                                      </w:t>
      </w:r>
      <w:r>
        <w:rPr>
          <w:rFonts w:hint="eastAsia" w:ascii="Times New Roman" w:hAnsi="Times New Roman" w:eastAsia="宋体"/>
          <w:b/>
          <w:bCs/>
          <w:color w:val="auto"/>
          <w:sz w:val="28"/>
          <w:szCs w:val="28"/>
        </w:rPr>
        <w:t>4.</w:t>
      </w:r>
      <w:r>
        <w:rPr>
          <w:rFonts w:hint="eastAsia" w:ascii="Times New Roman" w:hAnsi="Times New Roman" w:eastAsia="宋体"/>
          <w:b/>
          <w:bCs/>
          <w:color w:val="auto"/>
          <w:sz w:val="28"/>
          <w:szCs w:val="28"/>
          <w:lang w:val="en-US" w:eastAsia="zh-CN"/>
        </w:rPr>
        <w:t>2</w:t>
      </w:r>
      <w:r>
        <w:rPr>
          <w:rFonts w:hint="eastAsia" w:ascii="Times New Roman" w:hAnsi="Times New Roman" w:eastAsia="宋体"/>
          <w:b/>
          <w:bCs/>
          <w:color w:val="auto"/>
          <w:sz w:val="28"/>
          <w:szCs w:val="28"/>
        </w:rPr>
        <w:t>.</w:t>
      </w:r>
      <w:bookmarkEnd w:id="37"/>
      <w:bookmarkEnd w:id="38"/>
      <w:r>
        <w:rPr>
          <w:rFonts w:hint="eastAsia" w:ascii="Times New Roman" w:hAnsi="Times New Roman" w:eastAsia="宋体"/>
          <w:b/>
          <w:bCs/>
          <w:color w:val="auto"/>
          <w:sz w:val="28"/>
          <w:szCs w:val="28"/>
          <w:lang w:val="en-US" w:eastAsia="zh-CN"/>
        </w:rPr>
        <w:t>2</w:t>
      </w:r>
      <w:r>
        <w:rPr>
          <w:rFonts w:hint="eastAsia" w:ascii="Times New Roman" w:hAnsi="Times New Roman" w:eastAsia="宋体"/>
          <w:b/>
          <w:bCs/>
          <w:color w:val="auto"/>
          <w:sz w:val="28"/>
          <w:szCs w:val="28"/>
          <w:lang w:eastAsia="zh-CN"/>
        </w:rPr>
        <w:t>地下水防治措施</w:t>
      </w:r>
    </w:p>
    <w:p>
      <w:pPr>
        <w:spacing w:line="360" w:lineRule="auto"/>
        <w:ind w:firstLine="560"/>
        <w:rPr>
          <w:rFonts w:hint="eastAsia" w:ascii="Times New Roman" w:hAnsi="Times New Roman" w:eastAsia="宋体"/>
        </w:rPr>
      </w:pPr>
      <w:r>
        <w:rPr>
          <w:rFonts w:hint="eastAsia" w:ascii="Times New Roman" w:hAnsi="Times New Roman" w:eastAsia="宋体" w:cs="宋体"/>
          <w:color w:val="auto"/>
          <w:sz w:val="24"/>
          <w:szCs w:val="24"/>
        </w:rPr>
        <w:t>根据</w:t>
      </w:r>
      <w:r>
        <w:rPr>
          <w:rFonts w:hint="eastAsia" w:ascii="Times New Roman" w:hAnsi="Times New Roman" w:eastAsia="宋体" w:cs="宋体"/>
          <w:color w:val="auto"/>
          <w:sz w:val="24"/>
          <w:szCs w:val="24"/>
          <w:lang w:eastAsia="zh-CN"/>
        </w:rPr>
        <w:t>项目区</w:t>
      </w:r>
      <w:r>
        <w:rPr>
          <w:rFonts w:hint="eastAsia" w:ascii="Times New Roman" w:hAnsi="Times New Roman" w:eastAsia="宋体" w:cs="宋体"/>
          <w:color w:val="auto"/>
          <w:sz w:val="24"/>
          <w:szCs w:val="24"/>
        </w:rPr>
        <w:t>可能产生污染的地区，划分为重点污染防渗区、一般污染防渗区和简单污染防渗区。对厂区可能泄漏污染物地面进行防渗处理，可有效防治污染物渗入地下，并及时地将泄漏/渗漏的污染物收集并进行集中处理。</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简单防渗区：没有物料或污染物泄漏，不会对地下水环境造成污染的区域或者部位。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一般防渗区：裸露于地面的生产功能单元，污染地下水环境的物料或污染物泄漏后，可及时发现和处理的区域或部位。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重点防渗区：位于地下或半地下的生产功能单元，污染地下水环境的物料或污染物泄漏后，不易及时发现和处理的区域或部位。</w:t>
      </w:r>
    </w:p>
    <w:p>
      <w:pPr>
        <w:keepNext w:val="0"/>
        <w:keepLines w:val="0"/>
        <w:pageBreakBefore w:val="0"/>
        <w:widowControl w:val="0"/>
        <w:kinsoku/>
        <w:wordWrap/>
        <w:overflowPunct/>
        <w:topLinePunct w:val="0"/>
        <w:autoSpaceDE/>
        <w:autoSpaceDN/>
        <w:bidi w:val="0"/>
        <w:adjustRightInd/>
        <w:snapToGrid/>
        <w:spacing w:line="360" w:lineRule="auto"/>
        <w:ind w:firstLine="560"/>
        <w:textAlignment w:val="auto"/>
        <w:rPr>
          <w:rFonts w:hint="eastAsia" w:ascii="Times New Roman" w:hAnsi="Times New Roman" w:eastAsia="宋体" w:cs="宋体"/>
          <w:b/>
          <w:bCs/>
          <w:color w:val="auto"/>
          <w:sz w:val="21"/>
          <w:szCs w:val="21"/>
        </w:rPr>
      </w:pPr>
      <w:r>
        <w:rPr>
          <w:rFonts w:hint="eastAsia" w:ascii="Times New Roman" w:hAnsi="Times New Roman" w:eastAsia="宋体" w:cs="宋体"/>
          <w:color w:val="auto"/>
          <w:sz w:val="24"/>
          <w:szCs w:val="24"/>
        </w:rPr>
        <w:t>项目单位对危废库的地面采用防渗处理，其渗透系数要求达到《危险废物填埋污染控制标准》（ GB18598-20</w:t>
      </w:r>
      <w:r>
        <w:rPr>
          <w:rFonts w:hint="eastAsia" w:ascii="Times New Roman" w:hAnsi="Times New Roman" w:eastAsia="宋体" w:cs="宋体"/>
          <w:color w:val="auto"/>
          <w:sz w:val="24"/>
          <w:szCs w:val="24"/>
          <w:lang w:val="en-US" w:eastAsia="zh-CN"/>
        </w:rPr>
        <w:t>19</w:t>
      </w:r>
      <w:r>
        <w:rPr>
          <w:rFonts w:hint="eastAsia" w:ascii="Times New Roman" w:hAnsi="Times New Roman" w:eastAsia="宋体" w:cs="宋体"/>
          <w:color w:val="auto"/>
          <w:sz w:val="24"/>
          <w:szCs w:val="24"/>
        </w:rPr>
        <w:t>）中相关要求；以减少对项目区周围土壤和地下水的影响。项目区防渗</w:t>
      </w:r>
      <w:r>
        <w:rPr>
          <w:rFonts w:hint="eastAsia" w:ascii="Times New Roman" w:hAnsi="Times New Roman" w:eastAsia="宋体" w:cs="宋体"/>
          <w:color w:val="auto"/>
          <w:sz w:val="24"/>
          <w:szCs w:val="24"/>
          <w:lang w:eastAsia="zh-CN"/>
        </w:rPr>
        <w:t>措施如下：</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eastAsia" w:ascii="Times New Roman" w:hAnsi="Times New Roman" w:eastAsia="宋体" w:cs="宋体"/>
          <w:b w:val="0"/>
          <w:bCs w:val="0"/>
          <w:color w:val="auto"/>
          <w:sz w:val="24"/>
          <w:szCs w:val="24"/>
          <w:lang w:eastAsia="zh-CN"/>
        </w:rPr>
      </w:pPr>
      <w:r>
        <w:rPr>
          <w:rFonts w:hint="eastAsia" w:ascii="Times New Roman" w:hAnsi="Times New Roman" w:eastAsia="宋体" w:cs="宋体"/>
          <w:b/>
          <w:bCs/>
          <w:color w:val="auto"/>
          <w:sz w:val="21"/>
          <w:szCs w:val="21"/>
        </w:rPr>
        <w:t>表</w:t>
      </w:r>
      <w:r>
        <w:rPr>
          <w:rFonts w:hint="eastAsia" w:ascii="Times New Roman" w:hAnsi="Times New Roman" w:eastAsia="宋体" w:cs="宋体"/>
          <w:b/>
          <w:bCs/>
          <w:color w:val="auto"/>
          <w:sz w:val="21"/>
          <w:szCs w:val="21"/>
          <w:lang w:val="en-US" w:eastAsia="zh-CN"/>
        </w:rPr>
        <w:t>4.2-1</w:t>
      </w:r>
      <w:r>
        <w:rPr>
          <w:rFonts w:hint="eastAsia" w:ascii="Times New Roman" w:hAnsi="Times New Roman" w:eastAsia="宋体" w:cs="宋体"/>
          <w:b/>
          <w:bCs/>
          <w:color w:val="auto"/>
          <w:sz w:val="21"/>
          <w:szCs w:val="21"/>
        </w:rPr>
        <w:t xml:space="preserve">  项目污染防治分区情况表</w:t>
      </w:r>
    </w:p>
    <w:tbl>
      <w:tblPr>
        <w:tblStyle w:val="29"/>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6"/>
        <w:gridCol w:w="983"/>
        <w:gridCol w:w="2272"/>
        <w:gridCol w:w="3208"/>
        <w:gridCol w:w="23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序号</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类别</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区域</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eastAsia" w:ascii="Times New Roman" w:hAnsi="Times New Roman" w:eastAsia="宋体" w:cs="Times New Roman"/>
                <w:lang w:eastAsia="zh-CN"/>
              </w:rPr>
              <w:t>环评</w:t>
            </w:r>
            <w:r>
              <w:rPr>
                <w:rFonts w:hint="default" w:ascii="Times New Roman" w:hAnsi="Times New Roman" w:eastAsia="宋体" w:cs="Times New Roman"/>
              </w:rPr>
              <w:t>防渗技术要求</w:t>
            </w:r>
          </w:p>
        </w:tc>
        <w:tc>
          <w:tcPr>
            <w:tcW w:w="1268" w:type="pct"/>
            <w:tcBorders>
              <w:tl2br w:val="nil"/>
              <w:tr2bl w:val="nil"/>
            </w:tcBorders>
            <w:noWrap w:val="0"/>
            <w:vAlign w:val="center"/>
          </w:tcPr>
          <w:p>
            <w:pPr>
              <w:spacing w:line="240" w:lineRule="auto"/>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实际防渗措施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1</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重点防渗区</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危废暂存库、事故应急池</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等效黏土防渗层Mb≥6.0m，K≤1×10</w:t>
            </w:r>
            <w:r>
              <w:rPr>
                <w:rFonts w:hint="default" w:ascii="Times New Roman" w:hAnsi="Times New Roman" w:eastAsia="宋体" w:cs="Times New Roman"/>
                <w:vertAlign w:val="superscript"/>
              </w:rPr>
              <w:t>-</w:t>
            </w:r>
            <w:r>
              <w:rPr>
                <w:rFonts w:hint="default" w:ascii="Times New Roman" w:hAnsi="Times New Roman" w:eastAsia="宋体" w:cs="Times New Roman"/>
                <w:vertAlign w:val="superscript"/>
                <w:lang w:val="en-US" w:eastAsia="zh-CN"/>
              </w:rPr>
              <w:t>7</w:t>
            </w:r>
            <w:r>
              <w:rPr>
                <w:rFonts w:hint="default" w:ascii="Times New Roman" w:hAnsi="Times New Roman" w:eastAsia="宋体" w:cs="Times New Roman"/>
              </w:rPr>
              <w:t>cm/s；或参照GB18598执行</w:t>
            </w:r>
          </w:p>
        </w:tc>
        <w:tc>
          <w:tcPr>
            <w:tcW w:w="1268"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水泥基渗透结晶型抗渗混凝土（厚度</w:t>
            </w:r>
            <w:r>
              <w:rPr>
                <w:rFonts w:hint="eastAsia" w:ascii="Times New Roman" w:hAnsi="Times New Roman" w:eastAsia="宋体" w:cs="Times New Roman"/>
                <w:lang w:eastAsia="zh-CN"/>
              </w:rPr>
              <w:t>大于</w:t>
            </w:r>
            <w:r>
              <w:rPr>
                <w:rFonts w:hint="default" w:ascii="Times New Roman" w:hAnsi="Times New Roman" w:eastAsia="宋体" w:cs="Times New Roman"/>
              </w:rPr>
              <w:t>150mm）+水泥基渗透结晶型防渗涂层（厚度</w:t>
            </w:r>
            <w:r>
              <w:rPr>
                <w:rFonts w:hint="eastAsia" w:ascii="Times New Roman" w:hAnsi="Times New Roman" w:eastAsia="宋体" w:cs="Times New Roman"/>
                <w:lang w:eastAsia="zh-CN"/>
              </w:rPr>
              <w:t>大于</w:t>
            </w:r>
            <w:r>
              <w:rPr>
                <w:rFonts w:hint="default" w:ascii="Times New Roman" w:hAnsi="Times New Roman" w:eastAsia="宋体" w:cs="Times New Roman"/>
              </w:rPr>
              <w:t>0.8mm）的结构型式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2</w:t>
            </w:r>
          </w:p>
        </w:tc>
        <w:tc>
          <w:tcPr>
            <w:tcW w:w="523"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一般防渗区</w:t>
            </w:r>
          </w:p>
        </w:tc>
        <w:tc>
          <w:tcPr>
            <w:tcW w:w="1209"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生产区</w:t>
            </w:r>
          </w:p>
        </w:tc>
        <w:tc>
          <w:tcPr>
            <w:tcW w:w="1707"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等效黏土防渗层Mb≥1.5m，K≤1×10</w:t>
            </w:r>
            <w:r>
              <w:rPr>
                <w:rFonts w:hint="default" w:ascii="Times New Roman" w:hAnsi="Times New Roman" w:eastAsia="宋体" w:cs="Times New Roman"/>
                <w:vertAlign w:val="superscript"/>
              </w:rPr>
              <w:t>-7</w:t>
            </w:r>
            <w:r>
              <w:rPr>
                <w:rFonts w:hint="default" w:ascii="Times New Roman" w:hAnsi="Times New Roman" w:eastAsia="宋体" w:cs="Times New Roman"/>
              </w:rPr>
              <w:t>cm/s；或参照GB16889执行</w:t>
            </w:r>
          </w:p>
        </w:tc>
        <w:tc>
          <w:tcPr>
            <w:tcW w:w="1268" w:type="pct"/>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水泥基渗透结晶型抗渗混凝土（厚度</w:t>
            </w:r>
            <w:r>
              <w:rPr>
                <w:rFonts w:hint="eastAsia" w:ascii="Times New Roman" w:hAnsi="Times New Roman" w:eastAsia="宋体" w:cs="Times New Roman"/>
                <w:lang w:eastAsia="zh-CN"/>
              </w:rPr>
              <w:t>大于</w:t>
            </w:r>
            <w:r>
              <w:rPr>
                <w:rFonts w:hint="default" w:ascii="Times New Roman" w:hAnsi="Times New Roman" w:eastAsia="宋体" w:cs="Times New Roman"/>
              </w:rPr>
              <w:t>150mm）</w:t>
            </w:r>
          </w:p>
        </w:tc>
      </w:tr>
    </w:tbl>
    <w:p>
      <w:pPr>
        <w:pStyle w:val="5"/>
        <w:pageBreakBefore w:val="0"/>
        <w:widowControl w:val="0"/>
        <w:kinsoku/>
        <w:wordWrap/>
        <w:overflowPunct/>
        <w:topLinePunct w:val="0"/>
        <w:bidi w:val="0"/>
        <w:adjustRightInd/>
        <w:snapToGrid/>
        <w:spacing w:line="360" w:lineRule="auto"/>
        <w:textAlignment w:val="auto"/>
        <w:rPr>
          <w:rFonts w:ascii="Times New Roman" w:hAnsi="Times New Roman" w:eastAsia="宋体"/>
          <w:sz w:val="28"/>
          <w:szCs w:val="28"/>
        </w:rPr>
      </w:pPr>
      <w:bookmarkStart w:id="39" w:name="_Toc18419"/>
      <w:bookmarkStart w:id="40" w:name="_Toc53501998"/>
      <w:bookmarkStart w:id="41" w:name="_Toc50620032"/>
      <w:r>
        <w:rPr>
          <w:rFonts w:hint="eastAsia" w:ascii="Times New Roman" w:hAnsi="Times New Roman" w:eastAsia="宋体"/>
          <w:sz w:val="28"/>
          <w:szCs w:val="28"/>
        </w:rPr>
        <w:t>4.2.</w:t>
      </w:r>
      <w:r>
        <w:rPr>
          <w:rFonts w:hint="eastAsia" w:ascii="Times New Roman" w:hAnsi="Times New Roman" w:eastAsia="宋体"/>
          <w:sz w:val="28"/>
          <w:szCs w:val="28"/>
          <w:lang w:val="en-US" w:eastAsia="zh-CN"/>
        </w:rPr>
        <w:t>3</w:t>
      </w:r>
      <w:r>
        <w:rPr>
          <w:rFonts w:hint="eastAsia" w:ascii="Times New Roman" w:hAnsi="Times New Roman" w:eastAsia="宋体"/>
          <w:sz w:val="28"/>
          <w:szCs w:val="28"/>
        </w:rPr>
        <w:t>规范化排污口、监测设施及在线监测装置</w:t>
      </w:r>
      <w:bookmarkEnd w:id="39"/>
      <w:bookmarkEnd w:id="40"/>
      <w:bookmarkEnd w:id="41"/>
    </w:p>
    <w:p>
      <w:pPr>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在排气筒上设置规范的监测孔，并搭建便于监测的采样平台，废气排污口处设置规范化标识牌。</w:t>
      </w:r>
    </w:p>
    <w:p>
      <w:pPr>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kern w:val="0"/>
          <w:sz w:val="24"/>
          <w:szCs w:val="24"/>
        </w:rPr>
      </w:pPr>
      <w:r>
        <w:rPr>
          <w:rFonts w:hint="eastAsia" w:ascii="Times New Roman" w:hAnsi="Times New Roman" w:eastAsia="宋体" w:cs="Times New Roman"/>
          <w:kern w:val="0"/>
          <w:sz w:val="24"/>
          <w:szCs w:val="24"/>
        </w:rPr>
        <w:t>本项目危废仓库按相关环保要求设置防风、防雨、防泄漏的库房。入场堆放的危险废物进行预处理和包装；项目产生的危险废物进行分类存放，在醒目处设置标志牌。</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42" w:name="_Toc23932247"/>
      <w:bookmarkStart w:id="43" w:name="_Toc13608"/>
      <w:r>
        <w:rPr>
          <w:rFonts w:ascii="Times New Roman" w:hAnsi="Times New Roman" w:eastAsia="宋体" w:cs="Times New Roman"/>
          <w:color w:val="auto"/>
        </w:rPr>
        <w:t>4.</w:t>
      </w:r>
      <w:r>
        <w:rPr>
          <w:rFonts w:hint="eastAsia" w:ascii="Times New Roman" w:hAnsi="Times New Roman" w:eastAsia="宋体" w:cs="Times New Roman"/>
          <w:color w:val="auto"/>
          <w:lang w:val="en-US" w:eastAsia="zh-CN"/>
        </w:rPr>
        <w:t>3</w:t>
      </w:r>
      <w:r>
        <w:rPr>
          <w:rFonts w:ascii="Times New Roman" w:hAnsi="Times New Roman" w:eastAsia="宋体" w:cs="Times New Roman"/>
          <w:color w:val="auto"/>
        </w:rPr>
        <w:t>环境管理检查情况</w:t>
      </w:r>
      <w:bookmarkEnd w:id="42"/>
      <w:bookmarkEnd w:id="43"/>
    </w:p>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44" w:name="_Toc23788572"/>
      <w:bookmarkStart w:id="45" w:name="_Toc23932248"/>
      <w:bookmarkStart w:id="46" w:name="_Toc48659620"/>
      <w:bookmarkStart w:id="47" w:name="_Toc53502001"/>
      <w:bookmarkStart w:id="48" w:name="_Toc23233"/>
      <w:r>
        <w:rPr>
          <w:rFonts w:hint="eastAsia" w:ascii="Times New Roman" w:hAnsi="Times New Roman" w:eastAsia="宋体"/>
          <w:color w:val="auto"/>
        </w:rPr>
        <w:t>4.</w:t>
      </w:r>
      <w:r>
        <w:rPr>
          <w:rFonts w:hint="eastAsia" w:ascii="Times New Roman" w:hAnsi="Times New Roman" w:eastAsia="宋体"/>
          <w:color w:val="auto"/>
          <w:lang w:val="en-US" w:eastAsia="zh-CN"/>
        </w:rPr>
        <w:t>3</w:t>
      </w:r>
      <w:r>
        <w:rPr>
          <w:rFonts w:hint="eastAsia" w:ascii="Times New Roman" w:hAnsi="Times New Roman" w:eastAsia="宋体"/>
          <w:color w:val="auto"/>
        </w:rPr>
        <w:t>.</w:t>
      </w:r>
      <w:r>
        <w:rPr>
          <w:rFonts w:hint="eastAsia" w:ascii="Times New Roman" w:hAnsi="Times New Roman" w:eastAsia="宋体"/>
          <w:color w:val="auto"/>
          <w:lang w:val="en-US" w:eastAsia="zh-CN"/>
        </w:rPr>
        <w:t>1</w:t>
      </w:r>
      <w:r>
        <w:rPr>
          <w:rFonts w:hint="eastAsia" w:ascii="Times New Roman" w:hAnsi="Times New Roman" w:eastAsia="宋体"/>
          <w:color w:val="auto"/>
        </w:rPr>
        <w:t>环境管理</w:t>
      </w:r>
      <w:bookmarkEnd w:id="44"/>
      <w:bookmarkEnd w:id="45"/>
      <w:r>
        <w:rPr>
          <w:rFonts w:hint="eastAsia" w:ascii="Times New Roman" w:hAnsi="Times New Roman" w:eastAsia="宋体"/>
          <w:color w:val="auto"/>
        </w:rPr>
        <w:t>制度</w:t>
      </w:r>
      <w:bookmarkEnd w:id="46"/>
      <w:bookmarkEnd w:id="47"/>
      <w:bookmarkEnd w:id="48"/>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kern w:val="1"/>
        </w:rPr>
      </w:pPr>
      <w:bookmarkStart w:id="49" w:name="_Toc23932249"/>
      <w:r>
        <w:rPr>
          <w:rFonts w:ascii="Times New Roman" w:hAnsi="Times New Roman" w:eastAsia="宋体"/>
          <w:color w:val="auto"/>
          <w:kern w:val="1"/>
        </w:rPr>
        <w:t>其内容主要有：环境管理的指导思想、目的和要求，环境管理体制和机构及职责分工及相关关系，实施环境管理的基本原则、途径和方法，环境保护的检查、考核与奖惩等。</w:t>
      </w:r>
    </w:p>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olor w:val="auto"/>
          <w:kern w:val="1"/>
        </w:rPr>
      </w:pPr>
      <w:r>
        <w:rPr>
          <w:rFonts w:ascii="Times New Roman" w:hAnsi="Times New Roman" w:eastAsia="宋体"/>
          <w:color w:val="auto"/>
          <w:kern w:val="1"/>
        </w:rPr>
        <w:t>环境管理技术规程、标准。主要包括：污染物排放控制标准；环境监测技术规程；生产工艺、设备的环境技术规程；环境保护设备的操作规程等。</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kern w:val="1"/>
        </w:rPr>
      </w:pPr>
      <w:r>
        <w:rPr>
          <w:rFonts w:ascii="Times New Roman" w:hAnsi="Times New Roman" w:eastAsia="宋体"/>
          <w:color w:val="auto"/>
          <w:kern w:val="1"/>
        </w:rPr>
        <w:t>环境保护责任制度。其主要内容为：</w:t>
      </w:r>
      <w:r>
        <w:rPr>
          <w:rFonts w:hint="eastAsia" w:ascii="Times New Roman" w:hAnsi="Times New Roman" w:eastAsia="宋体"/>
          <w:color w:val="auto"/>
          <w:kern w:val="1"/>
          <w:lang w:eastAsia="zh-CN"/>
        </w:rPr>
        <w:t>公司</w:t>
      </w:r>
      <w:r>
        <w:rPr>
          <w:rFonts w:ascii="Times New Roman" w:hAnsi="Times New Roman" w:eastAsia="宋体"/>
          <w:color w:val="auto"/>
          <w:kern w:val="1"/>
        </w:rPr>
        <w:t>各部门、各类人员的环境保护工作范围、应负的责任，以及相应的权力。</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ascii="Times New Roman" w:hAnsi="Times New Roman" w:eastAsia="宋体"/>
          <w:color w:val="auto"/>
          <w:kern w:val="1"/>
        </w:rPr>
        <w:t>环境保护业务管理制度。主要包括：环保设备管理制度、环境监测管理制度、环境统计制度、环保考核制度等。</w:t>
      </w:r>
    </w:p>
    <w:bookmarkEnd w:id="49"/>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50" w:name="_Toc8466082"/>
      <w:bookmarkStart w:id="51" w:name="_Toc20420889"/>
      <w:bookmarkStart w:id="52" w:name="_Toc23932250"/>
      <w:bookmarkStart w:id="53" w:name="_Toc3909996"/>
      <w:bookmarkStart w:id="54" w:name="_Toc53502002"/>
      <w:bookmarkStart w:id="55" w:name="_Toc17336"/>
      <w:bookmarkStart w:id="56" w:name="_Toc23788574"/>
      <w:bookmarkStart w:id="57" w:name="_Toc534902526"/>
      <w:bookmarkStart w:id="58" w:name="_Toc6578134"/>
      <w:bookmarkStart w:id="59" w:name="_Toc48659622"/>
      <w:bookmarkStart w:id="60" w:name="_Toc534902903"/>
      <w:r>
        <w:rPr>
          <w:rFonts w:ascii="Times New Roman" w:hAnsi="Times New Roman" w:eastAsia="宋体"/>
          <w:color w:val="auto"/>
        </w:rPr>
        <w:t>4.</w:t>
      </w:r>
      <w:r>
        <w:rPr>
          <w:rFonts w:hint="eastAsia" w:ascii="Times New Roman" w:hAnsi="Times New Roman" w:eastAsia="宋体"/>
          <w:color w:val="auto"/>
          <w:lang w:val="en-US" w:eastAsia="zh-CN"/>
        </w:rPr>
        <w:t>3</w:t>
      </w:r>
      <w:r>
        <w:rPr>
          <w:rFonts w:ascii="Times New Roman" w:hAnsi="Times New Roman" w:eastAsia="宋体"/>
          <w:color w:val="auto"/>
        </w:rPr>
        <w:t>.</w:t>
      </w:r>
      <w:r>
        <w:rPr>
          <w:rFonts w:hint="eastAsia" w:ascii="Times New Roman" w:hAnsi="Times New Roman" w:eastAsia="宋体"/>
          <w:color w:val="auto"/>
        </w:rPr>
        <w:t>2</w:t>
      </w:r>
      <w:r>
        <w:rPr>
          <w:rFonts w:ascii="Times New Roman" w:hAnsi="Times New Roman" w:eastAsia="宋体"/>
          <w:color w:val="auto"/>
        </w:rPr>
        <w:t>环境监测计划</w:t>
      </w:r>
      <w:bookmarkEnd w:id="50"/>
      <w:bookmarkEnd w:id="51"/>
      <w:bookmarkEnd w:id="52"/>
      <w:bookmarkEnd w:id="53"/>
      <w:bookmarkEnd w:id="54"/>
      <w:bookmarkEnd w:id="55"/>
      <w:bookmarkEnd w:id="56"/>
      <w:bookmarkEnd w:id="57"/>
      <w:bookmarkEnd w:id="58"/>
      <w:bookmarkEnd w:id="59"/>
      <w:bookmarkEnd w:id="60"/>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szCs w:val="21"/>
        </w:rPr>
      </w:pPr>
      <w:r>
        <w:rPr>
          <w:rFonts w:hint="default" w:ascii="Times New Roman" w:hAnsi="Times New Roman" w:eastAsia="宋体" w:cs="Times New Roman"/>
          <w:sz w:val="24"/>
        </w:rPr>
        <w:t>参照《排污单位自行监测技术指南 总则》（HJ 819-2017），监测计划建议</w:t>
      </w:r>
      <w:r>
        <w:rPr>
          <w:rFonts w:hint="default" w:ascii="Times New Roman" w:hAnsi="Times New Roman" w:eastAsia="宋体" w:cs="Times New Roman"/>
          <w:sz w:val="24"/>
          <w:lang w:eastAsia="zh-CN"/>
        </w:rPr>
        <w:t>如下：</w:t>
      </w:r>
    </w:p>
    <w:p>
      <w:pPr>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szCs w:val="21"/>
        </w:rPr>
      </w:pPr>
      <w:r>
        <w:rPr>
          <w:rFonts w:hint="default" w:ascii="Times New Roman" w:hAnsi="Times New Roman" w:eastAsia="宋体" w:cs="Times New Roman"/>
          <w:b/>
          <w:szCs w:val="21"/>
          <w:lang w:val="en-US" w:eastAsia="zh-CN"/>
        </w:rPr>
        <w:t xml:space="preserve">    </w:t>
      </w:r>
      <w:r>
        <w:rPr>
          <w:rFonts w:hint="default" w:ascii="Times New Roman" w:hAnsi="Times New Roman" w:eastAsia="宋体" w:cs="Times New Roman"/>
          <w:sz w:val="24"/>
          <w:lang w:val="en-US" w:eastAsia="zh-CN"/>
        </w:rPr>
        <w:t>（1）废气监测计划</w:t>
      </w:r>
    </w:p>
    <w:p>
      <w:pPr>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szCs w:val="21"/>
          <w:lang w:val="en-US" w:eastAsia="zh-CN"/>
        </w:rPr>
      </w:pPr>
      <w:r>
        <w:rPr>
          <w:rFonts w:hint="default" w:ascii="Times New Roman" w:hAnsi="Times New Roman" w:eastAsia="宋体" w:cs="Times New Roman"/>
          <w:b/>
          <w:szCs w:val="21"/>
        </w:rPr>
        <w:t>表</w:t>
      </w:r>
      <w:r>
        <w:rPr>
          <w:rFonts w:hint="eastAsia" w:ascii="Times New Roman" w:hAnsi="Times New Roman" w:eastAsia="宋体" w:cs="Times New Roman"/>
          <w:b/>
          <w:szCs w:val="21"/>
          <w:lang w:val="en-US" w:eastAsia="zh-CN"/>
        </w:rPr>
        <w:t>4</w:t>
      </w:r>
      <w:r>
        <w:rPr>
          <w:rFonts w:hint="default" w:ascii="Times New Roman" w:hAnsi="Times New Roman" w:eastAsia="宋体" w:cs="Times New Roman"/>
          <w:b/>
          <w:szCs w:val="21"/>
        </w:rPr>
        <w:t>.3-1 项目大气污染源监测计</w:t>
      </w:r>
      <w:r>
        <w:rPr>
          <w:rFonts w:hint="eastAsia" w:ascii="Times New Roman" w:hAnsi="Times New Roman" w:eastAsia="宋体" w:cs="Times New Roman"/>
          <w:b/>
          <w:szCs w:val="21"/>
          <w:lang w:val="en-US" w:eastAsia="zh-CN"/>
        </w:rPr>
        <w:t>划</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421"/>
        <w:gridCol w:w="1431"/>
        <w:gridCol w:w="1062"/>
        <w:gridCol w:w="1372"/>
        <w:gridCol w:w="3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监测类别</w:t>
            </w:r>
          </w:p>
        </w:tc>
        <w:tc>
          <w:tcPr>
            <w:tcW w:w="1517" w:type="pct"/>
            <w:gridSpan w:val="2"/>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监测位置</w:t>
            </w:r>
          </w:p>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(或监测布点)</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w:t>
            </w:r>
          </w:p>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项目</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监测频率</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lang w:eastAsia="zh-CN"/>
              </w:rPr>
              <w:t>大</w:t>
            </w:r>
            <w:r>
              <w:rPr>
                <w:rFonts w:hint="default" w:ascii="Times New Roman" w:hAnsi="Times New Roman" w:eastAsia="宋体" w:cs="Times New Roman"/>
                <w:szCs w:val="21"/>
              </w:rPr>
              <w:t>气</w:t>
            </w:r>
          </w:p>
        </w:tc>
        <w:tc>
          <w:tcPr>
            <w:tcW w:w="756"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有组织废气监测方案</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P1（挤出废气排气筒）</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一年一次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合成树脂工业污染物排放标准》（GB31572-2015）5中特别排放限值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无组织废气监测计划</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厂界</w:t>
            </w:r>
          </w:p>
        </w:tc>
        <w:tc>
          <w:tcPr>
            <w:tcW w:w="56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73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一年一次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《合成树脂工业污染物排放标准》（GB31572-2015）企业边界大气污染物浓度限值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环境质量监测计划</w:t>
            </w: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厂区办公生活区</w:t>
            </w:r>
          </w:p>
        </w:tc>
        <w:tc>
          <w:tcPr>
            <w:tcW w:w="56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vertAlign w:val="subscript"/>
              </w:rPr>
            </w:pPr>
            <w:r>
              <w:rPr>
                <w:rFonts w:hint="default" w:ascii="Times New Roman" w:hAnsi="Times New Roman" w:eastAsia="宋体" w:cs="Times New Roman"/>
                <w:szCs w:val="21"/>
              </w:rPr>
              <w:t>非甲烷总烃</w:t>
            </w:r>
          </w:p>
        </w:tc>
        <w:tc>
          <w:tcPr>
            <w:tcW w:w="730"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一年一次</w:t>
            </w:r>
          </w:p>
        </w:tc>
        <w:tc>
          <w:tcPr>
            <w:tcW w:w="179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非甲烷总烃执行</w:t>
            </w:r>
            <w:r>
              <w:rPr>
                <w:rFonts w:hint="default" w:ascii="Times New Roman" w:hAnsi="Times New Roman" w:eastAsia="宋体" w:cs="Times New Roman"/>
                <w:snapToGrid w:val="0"/>
                <w:kern w:val="0"/>
                <w:szCs w:val="21"/>
              </w:rPr>
              <w:t>《大气污染物综合排放标准详解》中推荐的一次值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p>
        </w:tc>
        <w:tc>
          <w:tcPr>
            <w:tcW w:w="756"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760"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西南侧林场</w:t>
            </w:r>
          </w:p>
        </w:tc>
        <w:tc>
          <w:tcPr>
            <w:tcW w:w="565"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730"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179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bl>
    <w:p>
      <w:pPr>
        <w:pStyle w:val="63"/>
        <w:keepNext w:val="0"/>
        <w:keepLines w:val="0"/>
        <w:pageBreakBefore w:val="0"/>
        <w:widowControl w:val="0"/>
        <w:numPr>
          <w:ilvl w:val="0"/>
          <w:numId w:val="3"/>
        </w:numPr>
        <w:kinsoku/>
        <w:wordWrap/>
        <w:overflowPunct/>
        <w:topLinePunct w:val="0"/>
        <w:autoSpaceDE/>
        <w:autoSpaceDN/>
        <w:bidi w:val="0"/>
        <w:adjustRightInd/>
        <w:snapToGrid/>
        <w:spacing w:line="360" w:lineRule="auto"/>
        <w:ind w:left="370" w:leftChars="0" w:firstLine="260" w:firstLineChars="0"/>
        <w:textAlignment w:val="auto"/>
        <w:rPr>
          <w:rFonts w:hint="default" w:ascii="Times New Roman" w:hAnsi="Times New Roman" w:eastAsia="宋体" w:cs="Times New Roman"/>
          <w:snapToGrid w:val="0"/>
          <w:kern w:val="20"/>
          <w:sz w:val="24"/>
          <w:szCs w:val="24"/>
          <w:lang w:eastAsia="zh-CN"/>
        </w:rPr>
      </w:pPr>
      <w:r>
        <w:rPr>
          <w:rFonts w:hint="default" w:ascii="Times New Roman" w:hAnsi="Times New Roman" w:eastAsia="宋体" w:cs="Times New Roman"/>
          <w:snapToGrid w:val="0"/>
          <w:kern w:val="20"/>
          <w:sz w:val="24"/>
          <w:szCs w:val="24"/>
          <w:lang w:eastAsia="zh-CN"/>
        </w:rPr>
        <w:t>噪声监测计划</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napToGrid w:val="0"/>
          <w:color w:val="auto"/>
          <w:kern w:val="20"/>
          <w:sz w:val="24"/>
          <w:szCs w:val="24"/>
          <w:lang w:eastAsia="zh-CN"/>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4</w:t>
      </w:r>
      <w:r>
        <w:rPr>
          <w:rFonts w:hint="default" w:ascii="Times New Roman" w:hAnsi="Times New Roman" w:eastAsia="宋体" w:cs="Times New Roman"/>
          <w:b/>
          <w:color w:val="auto"/>
          <w:szCs w:val="21"/>
        </w:rPr>
        <w:t>.3-</w:t>
      </w:r>
      <w:r>
        <w:rPr>
          <w:rFonts w:hint="eastAsia" w:ascii="Times New Roman" w:hAnsi="Times New Roman" w:eastAsia="宋体" w:cs="Times New Roman"/>
          <w:b/>
          <w:color w:val="auto"/>
          <w:szCs w:val="21"/>
          <w:lang w:val="en-US" w:eastAsia="zh-CN"/>
        </w:rPr>
        <w:t xml:space="preserve">2  </w:t>
      </w:r>
      <w:r>
        <w:rPr>
          <w:rFonts w:hint="default" w:ascii="Times New Roman" w:hAnsi="Times New Roman" w:eastAsia="宋体" w:cs="Times New Roman"/>
          <w:b/>
          <w:color w:val="auto"/>
          <w:szCs w:val="21"/>
        </w:rPr>
        <w:t>项目</w:t>
      </w:r>
      <w:r>
        <w:rPr>
          <w:rFonts w:hint="default" w:ascii="Times New Roman" w:hAnsi="Times New Roman" w:eastAsia="宋体" w:cs="Times New Roman"/>
          <w:b/>
          <w:color w:val="auto"/>
          <w:szCs w:val="21"/>
          <w:lang w:eastAsia="zh-CN"/>
        </w:rPr>
        <w:t>噪声污染源</w:t>
      </w:r>
      <w:r>
        <w:rPr>
          <w:rFonts w:hint="default" w:ascii="Times New Roman" w:hAnsi="Times New Roman" w:eastAsia="宋体" w:cs="Times New Roman"/>
          <w:b/>
          <w:color w:val="auto"/>
          <w:szCs w:val="21"/>
        </w:rPr>
        <w:t>环境监测计划</w:t>
      </w:r>
    </w:p>
    <w:tbl>
      <w:tblPr>
        <w:tblStyle w:val="29"/>
        <w:tblW w:w="496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994"/>
        <w:gridCol w:w="1394"/>
        <w:gridCol w:w="1046"/>
        <w:gridCol w:w="1819"/>
        <w:gridCol w:w="33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1" w:hRule="atLeast"/>
          <w:jc w:val="center"/>
        </w:trPr>
        <w:tc>
          <w:tcPr>
            <w:tcW w:w="394"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监测类别</w:t>
            </w:r>
          </w:p>
        </w:tc>
        <w:tc>
          <w:tcPr>
            <w:tcW w:w="1278" w:type="pct"/>
            <w:gridSpan w:val="2"/>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监测位置</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(或监测布点)</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监测频率</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6" w:hRule="atLeast"/>
          <w:jc w:val="center"/>
        </w:trPr>
        <w:tc>
          <w:tcPr>
            <w:tcW w:w="394"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w:t>
            </w:r>
          </w:p>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w:t>
            </w:r>
          </w:p>
        </w:tc>
        <w:tc>
          <w:tcPr>
            <w:tcW w:w="532"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w:t>
            </w:r>
          </w:p>
        </w:tc>
        <w:tc>
          <w:tcPr>
            <w:tcW w:w="746"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厂区边界四周，各设一个测点</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Aeq</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每季度监测 1 天，昼夜各监测一次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26" w:hRule="atLeast"/>
          <w:jc w:val="center"/>
        </w:trPr>
        <w:tc>
          <w:tcPr>
            <w:tcW w:w="394"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auto"/>
                <w:szCs w:val="21"/>
              </w:rPr>
            </w:pPr>
          </w:p>
        </w:tc>
        <w:tc>
          <w:tcPr>
            <w:tcW w:w="532"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敏感点</w:t>
            </w:r>
          </w:p>
        </w:tc>
        <w:tc>
          <w:tcPr>
            <w:tcW w:w="746"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林场</w:t>
            </w:r>
          </w:p>
        </w:tc>
        <w:tc>
          <w:tcPr>
            <w:tcW w:w="560"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vertAlign w:val="subscript"/>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Aeq</w:t>
            </w:r>
          </w:p>
        </w:tc>
        <w:tc>
          <w:tcPr>
            <w:tcW w:w="974"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每季度监测 1 天，昼夜各监测一次</w:t>
            </w:r>
          </w:p>
        </w:tc>
        <w:tc>
          <w:tcPr>
            <w:tcW w:w="1791"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《声环境质量标准》（GB3096-2008）2类</w:t>
            </w:r>
          </w:p>
        </w:tc>
      </w:tr>
      <w:bookmarkEnd w:id="35"/>
    </w:tbl>
    <w:p>
      <w:pPr>
        <w:pStyle w:val="5"/>
        <w:pageBreakBefore w:val="0"/>
        <w:widowControl w:val="0"/>
        <w:kinsoku/>
        <w:wordWrap/>
        <w:overflowPunct/>
        <w:topLinePunct w:val="0"/>
        <w:autoSpaceDE/>
        <w:autoSpaceDN/>
        <w:bidi w:val="0"/>
        <w:adjustRightInd/>
        <w:snapToGrid/>
        <w:spacing w:line="360" w:lineRule="auto"/>
        <w:ind w:firstLine="520" w:firstLineChars="200"/>
        <w:textAlignment w:val="auto"/>
        <w:rPr>
          <w:rFonts w:hint="default" w:ascii="宋体" w:hAnsi="宋体" w:eastAsia="宋体" w:cs="宋体"/>
          <w:b w:val="0"/>
          <w:bCs w:val="0"/>
          <w:color w:val="auto"/>
          <w:sz w:val="24"/>
          <w:szCs w:val="24"/>
          <w:highlight w:val="red"/>
          <w:lang w:val="en-US" w:eastAsia="zh-CN"/>
        </w:rPr>
      </w:pPr>
      <w:bookmarkStart w:id="61" w:name="_Toc22330"/>
      <w:bookmarkStart w:id="62" w:name="_Toc53502003"/>
      <w:r>
        <w:rPr>
          <w:rFonts w:hint="eastAsia" w:ascii="宋体" w:hAnsi="宋体" w:eastAsia="宋体" w:cs="宋体"/>
          <w:b w:val="0"/>
          <w:bCs w:val="0"/>
          <w:color w:val="auto"/>
          <w:sz w:val="24"/>
          <w:szCs w:val="24"/>
          <w:highlight w:val="none"/>
          <w:lang w:val="en-US" w:eastAsia="zh-CN"/>
        </w:rPr>
        <w:t>(3)生活污水监测计划</w:t>
      </w:r>
      <w:bookmarkEnd w:id="61"/>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napToGrid w:val="0"/>
          <w:color w:val="auto"/>
          <w:kern w:val="20"/>
          <w:sz w:val="24"/>
          <w:szCs w:val="24"/>
          <w:lang w:eastAsia="zh-CN"/>
        </w:rPr>
      </w:pPr>
      <w:r>
        <w:rPr>
          <w:rFonts w:hint="eastAsia"/>
          <w:lang w:val="en-US" w:eastAsia="zh-CN"/>
        </w:rPr>
        <w:t xml:space="preserve">    </w:t>
      </w: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4</w:t>
      </w:r>
      <w:r>
        <w:rPr>
          <w:rFonts w:hint="default" w:ascii="Times New Roman" w:hAnsi="Times New Roman" w:eastAsia="宋体" w:cs="Times New Roman"/>
          <w:b/>
          <w:color w:val="auto"/>
          <w:szCs w:val="21"/>
        </w:rPr>
        <w:t>.3-</w:t>
      </w:r>
      <w:r>
        <w:rPr>
          <w:rFonts w:hint="eastAsia" w:ascii="Times New Roman" w:hAnsi="Times New Roman" w:eastAsia="宋体" w:cs="Times New Roman"/>
          <w:b/>
          <w:color w:val="auto"/>
          <w:szCs w:val="21"/>
          <w:lang w:val="en-US" w:eastAsia="zh-CN"/>
        </w:rPr>
        <w:t xml:space="preserve">3  </w:t>
      </w:r>
      <w:r>
        <w:rPr>
          <w:rFonts w:hint="default" w:ascii="Times New Roman" w:hAnsi="Times New Roman" w:eastAsia="宋体" w:cs="Times New Roman"/>
          <w:b/>
          <w:color w:val="auto"/>
          <w:szCs w:val="21"/>
        </w:rPr>
        <w:t>项目</w:t>
      </w:r>
      <w:r>
        <w:rPr>
          <w:rFonts w:hint="eastAsia" w:ascii="Times New Roman" w:hAnsi="Times New Roman" w:eastAsia="宋体" w:cs="Times New Roman"/>
          <w:b/>
          <w:color w:val="auto"/>
          <w:szCs w:val="21"/>
          <w:lang w:val="en-US" w:eastAsia="zh-CN"/>
        </w:rPr>
        <w:t>污水</w:t>
      </w:r>
      <w:r>
        <w:rPr>
          <w:rFonts w:hint="default" w:ascii="Times New Roman" w:hAnsi="Times New Roman" w:eastAsia="宋体" w:cs="Times New Roman"/>
          <w:b/>
          <w:color w:val="auto"/>
          <w:szCs w:val="21"/>
          <w:lang w:eastAsia="zh-CN"/>
        </w:rPr>
        <w:t>污染源</w:t>
      </w:r>
      <w:r>
        <w:rPr>
          <w:rFonts w:hint="default" w:ascii="Times New Roman" w:hAnsi="Times New Roman" w:eastAsia="宋体" w:cs="Times New Roman"/>
          <w:b/>
          <w:color w:val="auto"/>
          <w:szCs w:val="21"/>
        </w:rPr>
        <w:t>环境监测计划</w:t>
      </w:r>
    </w:p>
    <w:p>
      <w:pPr>
        <w:rPr>
          <w:rFonts w:hint="default"/>
          <w:lang w:val="en-US" w:eastAsia="zh-CN"/>
        </w:rPr>
      </w:pPr>
    </w:p>
    <w:tbl>
      <w:tblPr>
        <w:tblStyle w:val="29"/>
        <w:tblW w:w="485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2293"/>
        <w:gridCol w:w="1422"/>
        <w:gridCol w:w="1725"/>
        <w:gridCol w:w="3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1" w:hRule="atLeast"/>
          <w:jc w:val="center"/>
        </w:trPr>
        <w:tc>
          <w:tcPr>
            <w:tcW w:w="235"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监测类别</w:t>
            </w:r>
          </w:p>
        </w:tc>
        <w:tc>
          <w:tcPr>
            <w:tcW w:w="1256"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监测位置</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(或监测布点)</w:t>
            </w:r>
          </w:p>
        </w:tc>
        <w:tc>
          <w:tcPr>
            <w:tcW w:w="779"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w:t>
            </w:r>
          </w:p>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w:t>
            </w:r>
          </w:p>
        </w:tc>
        <w:tc>
          <w:tcPr>
            <w:tcW w:w="945"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监测频率</w:t>
            </w:r>
          </w:p>
        </w:tc>
        <w:tc>
          <w:tcPr>
            <w:tcW w:w="1783" w:type="pct"/>
            <w:tcBorders>
              <w:tl2br w:val="nil"/>
              <w:tr2bl w:val="nil"/>
            </w:tcBorders>
            <w:noWrap w:val="0"/>
            <w:vAlign w:val="center"/>
          </w:tcPr>
          <w:p>
            <w:pPr>
              <w:spacing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82" w:hRule="atLeast"/>
          <w:jc w:val="center"/>
        </w:trPr>
        <w:tc>
          <w:tcPr>
            <w:tcW w:w="235"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w:t>
            </w:r>
          </w:p>
        </w:tc>
        <w:tc>
          <w:tcPr>
            <w:tcW w:w="1256" w:type="pct"/>
            <w:tcBorders>
              <w:tl2br w:val="nil"/>
              <w:tr2bl w:val="nil"/>
            </w:tcBorders>
            <w:noWrap w:val="0"/>
            <w:vAlign w:val="center"/>
          </w:tcPr>
          <w:p>
            <w:pPr>
              <w:spacing w:line="240" w:lineRule="auto"/>
              <w:jc w:val="both"/>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生活污水处理设施排放口</w:t>
            </w:r>
          </w:p>
        </w:tc>
        <w:tc>
          <w:tcPr>
            <w:tcW w:w="779" w:type="pct"/>
            <w:tcBorders>
              <w:tl2br w:val="nil"/>
              <w:tr2bl w:val="nil"/>
            </w:tcBorders>
            <w:noWrap w:val="0"/>
            <w:vAlign w:val="center"/>
          </w:tcPr>
          <w:p>
            <w:pPr>
              <w:keepNext w:val="0"/>
              <w:keepLines w:val="0"/>
              <w:widowControl/>
              <w:suppressLineNumbers w:val="0"/>
              <w:jc w:val="left"/>
              <w:rPr>
                <w:rFonts w:hint="default" w:eastAsiaTheme="minorEastAsia"/>
                <w:sz w:val="18"/>
                <w:szCs w:val="18"/>
                <w:lang w:val="en-US" w:eastAsia="zh-CN"/>
              </w:rPr>
            </w:pPr>
            <w:r>
              <w:rPr>
                <w:rFonts w:hint="eastAsia"/>
                <w:sz w:val="18"/>
                <w:szCs w:val="18"/>
                <w:lang w:val="en-US" w:eastAsia="zh-CN"/>
              </w:rPr>
              <w:t>PH、色度、氨氮、五日生化需氧量、溶解性总固体、溶解氧、总大肠菌</w:t>
            </w:r>
          </w:p>
          <w:p>
            <w:pPr>
              <w:spacing w:line="240" w:lineRule="auto"/>
              <w:jc w:val="center"/>
              <w:rPr>
                <w:rFonts w:hint="default" w:ascii="Times New Roman" w:hAnsi="Times New Roman" w:eastAsia="宋体" w:cs="Times New Roman"/>
                <w:color w:val="auto"/>
                <w:szCs w:val="21"/>
                <w:vertAlign w:val="subscript"/>
              </w:rPr>
            </w:pPr>
          </w:p>
        </w:tc>
        <w:tc>
          <w:tcPr>
            <w:tcW w:w="945"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szCs w:val="21"/>
              </w:rPr>
              <w:t>一年一次</w:t>
            </w:r>
          </w:p>
        </w:tc>
        <w:tc>
          <w:tcPr>
            <w:tcW w:w="1783" w:type="pct"/>
            <w:tcBorders>
              <w:tl2br w:val="nil"/>
              <w:tr2bl w:val="nil"/>
            </w:tcBorders>
            <w:noWrap w:val="0"/>
            <w:vAlign w:val="center"/>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lang w:val="en-US" w:eastAsia="zh-CN"/>
              </w:rPr>
            </w:pPr>
            <w:r>
              <w:rPr>
                <w:rFonts w:hint="default" w:ascii="Times New Roman" w:hAnsi="Times New Roman" w:eastAsia="宋体" w:cs="Times New Roman"/>
                <w:sz w:val="24"/>
                <w:szCs w:val="24"/>
              </w:rPr>
              <w:t>《城市污水再生利用城市杂用水水质》（GB/T18920-20</w:t>
            </w:r>
            <w:r>
              <w:rPr>
                <w:rFonts w:hint="eastAsia" w:ascii="Times New Roman" w:hAnsi="Times New Roman" w:cs="Times New Roman"/>
                <w:sz w:val="24"/>
                <w:szCs w:val="24"/>
                <w:lang w:val="en-US" w:eastAsia="zh-CN"/>
              </w:rPr>
              <w:t>20</w:t>
            </w:r>
            <w:r>
              <w:rPr>
                <w:rFonts w:hint="default" w:ascii="Times New Roman" w:hAnsi="Times New Roman" w:eastAsia="宋体" w:cs="Times New Roman"/>
                <w:sz w:val="24"/>
                <w:szCs w:val="24"/>
              </w:rPr>
              <w:t>）</w:t>
            </w:r>
            <w:r>
              <w:rPr>
                <w:rFonts w:hint="eastAsia" w:ascii="Times New Roman" w:hAnsi="Times New Roman" w:cs="Times New Roman"/>
                <w:sz w:val="24"/>
                <w:szCs w:val="24"/>
                <w:lang w:val="en-US" w:eastAsia="zh-CN"/>
              </w:rPr>
              <w:t>表1中城市绿化杂用水标准浓度</w:t>
            </w:r>
          </w:p>
          <w:p>
            <w:pPr>
              <w:spacing w:line="240" w:lineRule="auto"/>
              <w:jc w:val="center"/>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82" w:hRule="atLeast"/>
          <w:jc w:val="center"/>
        </w:trPr>
        <w:tc>
          <w:tcPr>
            <w:tcW w:w="235"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冷水循环池</w:t>
            </w:r>
          </w:p>
        </w:tc>
        <w:tc>
          <w:tcPr>
            <w:tcW w:w="1256" w:type="pct"/>
            <w:tcBorders>
              <w:tl2br w:val="nil"/>
              <w:tr2bl w:val="nil"/>
            </w:tcBorders>
            <w:noWrap w:val="0"/>
            <w:vAlign w:val="center"/>
          </w:tcPr>
          <w:p>
            <w:pPr>
              <w:spacing w:line="240" w:lineRule="auto"/>
              <w:jc w:val="both"/>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厂区内循环池</w:t>
            </w:r>
          </w:p>
        </w:tc>
        <w:tc>
          <w:tcPr>
            <w:tcW w:w="779" w:type="pct"/>
            <w:tcBorders>
              <w:tl2br w:val="nil"/>
              <w:tr2bl w:val="nil"/>
            </w:tcBorders>
            <w:noWrap w:val="0"/>
            <w:vAlign w:val="center"/>
          </w:tcPr>
          <w:p>
            <w:pPr>
              <w:spacing w:line="240" w:lineRule="auto"/>
              <w:jc w:val="both"/>
              <w:rPr>
                <w:rFonts w:hint="default" w:ascii="Times New Roman" w:hAnsi="Times New Roman" w:eastAsia="宋体" w:cs="Times New Roman"/>
                <w:color w:val="auto"/>
                <w:sz w:val="30"/>
                <w:szCs w:val="30"/>
                <w:vertAlign w:val="subscript"/>
                <w:lang w:val="en-US" w:eastAsia="zh-CN"/>
              </w:rPr>
            </w:pPr>
            <w:r>
              <w:rPr>
                <w:rFonts w:hint="eastAsia" w:ascii="Times New Roman" w:hAnsi="Times New Roman" w:eastAsia="宋体" w:cs="Times New Roman"/>
                <w:color w:val="auto"/>
                <w:sz w:val="24"/>
                <w:szCs w:val="24"/>
                <w:vertAlign w:val="subscript"/>
                <w:lang w:val="en-US" w:eastAsia="zh-CN"/>
              </w:rPr>
              <w:t>PH、COD、</w:t>
            </w:r>
            <w:r>
              <w:rPr>
                <w:rFonts w:hint="eastAsia" w:ascii="Times New Roman" w:hAnsi="Times New Roman" w:eastAsia="宋体" w:cs="Times New Roman"/>
                <w:color w:val="auto"/>
                <w:sz w:val="30"/>
                <w:szCs w:val="30"/>
                <w:vertAlign w:val="subscript"/>
                <w:lang w:val="en-US" w:eastAsia="zh-CN"/>
              </w:rPr>
              <w:t>总磷、总氮、石油类</w:t>
            </w:r>
          </w:p>
        </w:tc>
        <w:tc>
          <w:tcPr>
            <w:tcW w:w="945"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1783"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工业循环冷却水处理设计规范</w:t>
            </w:r>
            <w:r>
              <w:rPr>
                <w:rFonts w:hint="default" w:ascii="Times New Roman" w:hAnsi="Times New Roman" w:eastAsia="宋体" w:cs="Times New Roman"/>
                <w:sz w:val="24"/>
                <w:szCs w:val="24"/>
              </w:rPr>
              <w:t>》（GB/T</w:t>
            </w:r>
            <w:r>
              <w:rPr>
                <w:rFonts w:hint="eastAsia" w:ascii="Times New Roman" w:hAnsi="Times New Roman" w:eastAsia="宋体" w:cs="Times New Roman"/>
                <w:sz w:val="24"/>
                <w:szCs w:val="24"/>
                <w:lang w:val="en-US" w:eastAsia="zh-CN"/>
              </w:rPr>
              <w:t>50050-2017</w:t>
            </w:r>
            <w:r>
              <w:rPr>
                <w:rFonts w:hint="default" w:ascii="Times New Roman" w:hAnsi="Times New Roman" w:eastAsia="宋体" w:cs="Times New Roman"/>
                <w:sz w:val="24"/>
                <w:szCs w:val="24"/>
              </w:rPr>
              <w:t>）</w:t>
            </w:r>
          </w:p>
        </w:tc>
      </w:tr>
    </w:tbl>
    <w:p>
      <w:pPr>
        <w:rPr>
          <w:rFonts w:hint="default"/>
          <w:lang w:val="en-US" w:eastAsia="zh-CN"/>
        </w:rPr>
      </w:pPr>
    </w:p>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63" w:name="_Toc24178"/>
      <w:r>
        <w:rPr>
          <w:rFonts w:hint="eastAsia" w:ascii="Times New Roman" w:hAnsi="Times New Roman" w:eastAsia="宋体"/>
          <w:color w:val="auto"/>
        </w:rPr>
        <w:t>4.</w:t>
      </w:r>
      <w:r>
        <w:rPr>
          <w:rFonts w:hint="eastAsia" w:ascii="Times New Roman" w:hAnsi="Times New Roman" w:eastAsia="宋体"/>
          <w:color w:val="auto"/>
          <w:lang w:val="en-US" w:eastAsia="zh-CN"/>
        </w:rPr>
        <w:t>3</w:t>
      </w:r>
      <w:r>
        <w:rPr>
          <w:rFonts w:hint="eastAsia" w:ascii="Times New Roman" w:hAnsi="Times New Roman" w:eastAsia="宋体"/>
          <w:color w:val="auto"/>
        </w:rPr>
        <w:t>.3环境防护距离检查情况</w:t>
      </w:r>
      <w:bookmarkEnd w:id="62"/>
      <w:bookmarkEnd w:id="63"/>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本项目环境防护距离确定为</w:t>
      </w:r>
      <w:r>
        <w:rPr>
          <w:rFonts w:hint="eastAsia" w:ascii="Times New Roman" w:hAnsi="Times New Roman" w:eastAsia="宋体"/>
          <w:color w:val="auto"/>
          <w:lang w:eastAsia="zh-CN"/>
        </w:rPr>
        <w:t>厂界</w:t>
      </w:r>
      <w:r>
        <w:rPr>
          <w:rFonts w:hint="eastAsia" w:ascii="Times New Roman" w:hAnsi="Times New Roman" w:eastAsia="宋体"/>
          <w:color w:val="auto"/>
        </w:rPr>
        <w:t>周边</w:t>
      </w:r>
      <w:r>
        <w:rPr>
          <w:rFonts w:hint="eastAsia" w:ascii="Times New Roman" w:hAnsi="Times New Roman" w:eastAsia="宋体"/>
          <w:color w:val="auto"/>
          <w:lang w:val="en-US" w:eastAsia="zh-CN"/>
        </w:rPr>
        <w:t>5</w:t>
      </w:r>
      <w:r>
        <w:rPr>
          <w:rFonts w:hint="eastAsia" w:ascii="Times New Roman" w:hAnsi="Times New Roman" w:eastAsia="宋体"/>
          <w:color w:val="auto"/>
        </w:rPr>
        <w:t>0m范围区域内，根据现场调查，</w:t>
      </w:r>
      <w:r>
        <w:rPr>
          <w:rFonts w:hint="eastAsia" w:ascii="Times New Roman" w:hAnsi="Times New Roman" w:eastAsia="宋体"/>
          <w:color w:val="auto"/>
          <w:lang w:eastAsia="zh-CN"/>
        </w:rPr>
        <w:t>厂界</w:t>
      </w:r>
      <w:r>
        <w:rPr>
          <w:rFonts w:hint="eastAsia" w:ascii="Times New Roman" w:hAnsi="Times New Roman" w:eastAsia="宋体"/>
          <w:color w:val="auto"/>
        </w:rPr>
        <w:t>周边</w:t>
      </w:r>
      <w:r>
        <w:rPr>
          <w:rFonts w:hint="eastAsia" w:ascii="Times New Roman" w:hAnsi="Times New Roman" w:eastAsia="宋体"/>
          <w:color w:val="auto"/>
          <w:lang w:val="en-US" w:eastAsia="zh-CN"/>
        </w:rPr>
        <w:t>5</w:t>
      </w:r>
      <w:r>
        <w:rPr>
          <w:rFonts w:hint="eastAsia" w:ascii="Times New Roman" w:hAnsi="Times New Roman" w:eastAsia="宋体"/>
          <w:color w:val="auto"/>
        </w:rPr>
        <w:t>0m范围内无居民区、学校等敏感点，环境防护距离满足要求。本项目环境防护距离包络线见图4.</w:t>
      </w:r>
      <w:r>
        <w:rPr>
          <w:rFonts w:hint="eastAsia" w:ascii="Times New Roman" w:hAnsi="Times New Roman" w:eastAsia="宋体"/>
          <w:color w:val="auto"/>
          <w:lang w:val="en-US" w:eastAsia="zh-CN"/>
        </w:rPr>
        <w:t>3</w:t>
      </w:r>
      <w:r>
        <w:rPr>
          <w:rFonts w:hint="eastAsia" w:ascii="Times New Roman" w:hAnsi="Times New Roman" w:eastAsia="宋体"/>
          <w:color w:val="auto"/>
        </w:rPr>
        <w:t>-1：</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ascii="Times New Roman" w:hAnsi="Times New Roman" w:eastAsia="宋体"/>
        </w:rPr>
        <w:drawing>
          <wp:inline distT="0" distB="0" distL="114300" distR="114300">
            <wp:extent cx="5829300" cy="4358640"/>
            <wp:effectExtent l="0" t="0" r="0" b="381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26"/>
                    <a:stretch>
                      <a:fillRect/>
                    </a:stretch>
                  </pic:blipFill>
                  <pic:spPr>
                    <a:xfrm>
                      <a:off x="0" y="0"/>
                      <a:ext cx="5829300" cy="4358640"/>
                    </a:xfrm>
                    <a:prstGeom prst="rect">
                      <a:avLst/>
                    </a:prstGeom>
                    <a:noFill/>
                    <a:ln>
                      <a:noFill/>
                    </a:ln>
                  </pic:spPr>
                </pic:pic>
              </a:graphicData>
            </a:graphic>
          </wp:inline>
        </w:drawing>
      </w:r>
    </w:p>
    <w:p>
      <w:pPr>
        <w:pStyle w:val="146"/>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ascii="Times New Roman" w:hAnsi="Times New Roman" w:eastAsia="宋体"/>
          <w:color w:val="auto"/>
        </w:rPr>
      </w:pP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ascii="Times New Roman" w:hAnsi="Times New Roman" w:eastAsia="宋体"/>
          <w:b/>
          <w:color w:val="auto"/>
          <w:szCs w:val="21"/>
        </w:rPr>
      </w:pPr>
      <w:r>
        <w:rPr>
          <w:rFonts w:ascii="Times New Roman" w:hAnsi="Times New Roman" w:eastAsia="宋体" w:cs="Times New Roman"/>
          <w:b/>
          <w:color w:val="auto"/>
          <w:szCs w:val="21"/>
        </w:rPr>
        <w:t>图4.</w:t>
      </w:r>
      <w:r>
        <w:rPr>
          <w:rFonts w:hint="eastAsia" w:ascii="Times New Roman" w:hAnsi="Times New Roman" w:eastAsia="宋体" w:cs="Times New Roman"/>
          <w:b/>
          <w:color w:val="auto"/>
          <w:szCs w:val="21"/>
          <w:lang w:val="en-US" w:eastAsia="zh-CN"/>
        </w:rPr>
        <w:t>3</w:t>
      </w:r>
      <w:r>
        <w:rPr>
          <w:rFonts w:ascii="Times New Roman" w:hAnsi="Times New Roman" w:eastAsia="宋体" w:cs="Times New Roman"/>
          <w:b/>
          <w:color w:val="auto"/>
          <w:szCs w:val="21"/>
        </w:rPr>
        <w:t>-1 项目</w:t>
      </w:r>
      <w:r>
        <w:rPr>
          <w:rFonts w:ascii="Times New Roman" w:hAnsi="Times New Roman" w:eastAsia="宋体"/>
          <w:b/>
          <w:color w:val="auto"/>
          <w:szCs w:val="21"/>
        </w:rPr>
        <w:t>环境防护距离包络线图</w:t>
      </w:r>
    </w:p>
    <w:p>
      <w:pPr>
        <w:pStyle w:val="4"/>
        <w:pageBreakBefore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highlight w:val="none"/>
        </w:rPr>
      </w:pPr>
      <w:bookmarkStart w:id="64" w:name="_Toc15555"/>
      <w:r>
        <w:rPr>
          <w:rFonts w:ascii="Times New Roman" w:hAnsi="Times New Roman" w:eastAsia="宋体" w:cs="Times New Roman"/>
          <w:color w:val="auto"/>
          <w:highlight w:val="none"/>
        </w:rPr>
        <w:t>4.</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环保设施投资及环保措施落实情况</w:t>
      </w:r>
      <w:bookmarkEnd w:id="64"/>
    </w:p>
    <w:p>
      <w:pPr>
        <w:pStyle w:val="104"/>
        <w:pageBreakBefore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sz w:val="24"/>
          <w:highlight w:val="none"/>
        </w:rPr>
        <w:t xml:space="preserve"> 本次验收的</w:t>
      </w:r>
      <w:r>
        <w:rPr>
          <w:rFonts w:hint="eastAsia"/>
          <w:color w:val="auto"/>
          <w:sz w:val="24"/>
          <w:highlight w:val="none"/>
          <w:lang w:val="en-US" w:eastAsia="zh-CN"/>
        </w:rPr>
        <w:t>实际</w:t>
      </w:r>
      <w:r>
        <w:rPr>
          <w:rFonts w:hint="eastAsia" w:ascii="Times New Roman" w:hAnsi="Times New Roman" w:eastAsia="宋体"/>
          <w:color w:val="auto"/>
          <w:sz w:val="24"/>
          <w:highlight w:val="none"/>
        </w:rPr>
        <w:t>总投资</w:t>
      </w:r>
      <w:r>
        <w:rPr>
          <w:rFonts w:hint="eastAsia"/>
          <w:color w:val="auto"/>
          <w:sz w:val="24"/>
          <w:highlight w:val="none"/>
          <w:lang w:val="en-US" w:eastAsia="zh-CN"/>
        </w:rPr>
        <w:t>500</w:t>
      </w:r>
      <w:r>
        <w:rPr>
          <w:rFonts w:hint="eastAsia" w:ascii="Times New Roman" w:hAnsi="Times New Roman" w:eastAsia="宋体"/>
          <w:color w:val="auto"/>
          <w:sz w:val="24"/>
          <w:highlight w:val="none"/>
        </w:rPr>
        <w:t>万元，其中环保投资</w:t>
      </w:r>
      <w:r>
        <w:rPr>
          <w:rFonts w:hint="eastAsia"/>
          <w:color w:val="auto"/>
          <w:sz w:val="24"/>
          <w:highlight w:val="none"/>
          <w:lang w:val="en-US" w:eastAsia="zh-CN"/>
        </w:rPr>
        <w:t>50</w:t>
      </w:r>
      <w:r>
        <w:rPr>
          <w:rFonts w:hint="eastAsia" w:ascii="Times New Roman" w:hAnsi="Times New Roman" w:eastAsia="宋体"/>
          <w:color w:val="auto"/>
          <w:sz w:val="24"/>
          <w:highlight w:val="none"/>
        </w:rPr>
        <w:t>万元</w:t>
      </w:r>
      <w:r>
        <w:rPr>
          <w:rFonts w:ascii="Times New Roman" w:hAnsi="Times New Roman" w:eastAsia="宋体"/>
          <w:color w:val="auto"/>
          <w:highlight w:val="none"/>
        </w:rPr>
        <w:t>，占总投资的</w:t>
      </w:r>
      <w:r>
        <w:rPr>
          <w:rFonts w:hint="eastAsia"/>
          <w:color w:val="auto"/>
          <w:highlight w:val="none"/>
          <w:lang w:val="en-US" w:eastAsia="zh-CN"/>
        </w:rPr>
        <w:t>10</w:t>
      </w:r>
      <w:r>
        <w:rPr>
          <w:rFonts w:ascii="Times New Roman" w:hAnsi="Times New Roman" w:eastAsia="宋体"/>
          <w:color w:val="auto"/>
          <w:highlight w:val="none"/>
        </w:rPr>
        <w:t>%</w:t>
      </w:r>
      <w:r>
        <w:rPr>
          <w:rFonts w:hint="eastAsia" w:ascii="Times New Roman" w:hAnsi="Times New Roman" w:eastAsia="宋体"/>
          <w:color w:val="auto"/>
          <w:highlight w:val="none"/>
        </w:rPr>
        <w:t>，</w:t>
      </w:r>
      <w:r>
        <w:rPr>
          <w:rFonts w:hint="eastAsia" w:ascii="Times New Roman" w:hAnsi="Times New Roman" w:eastAsia="宋体"/>
          <w:color w:val="auto"/>
        </w:rPr>
        <w:t>环保措施投资及“三同时”落实情况详见表4</w:t>
      </w:r>
      <w:r>
        <w:rPr>
          <w:rFonts w:ascii="Times New Roman" w:hAnsi="Times New Roman" w:eastAsia="宋体"/>
          <w:color w:val="auto"/>
        </w:rPr>
        <w:t>.</w:t>
      </w:r>
      <w:r>
        <w:rPr>
          <w:rFonts w:hint="eastAsia" w:ascii="Times New Roman" w:hAnsi="Times New Roman" w:eastAsia="宋体"/>
          <w:color w:val="auto"/>
          <w:lang w:val="en-US" w:eastAsia="zh-CN"/>
        </w:rPr>
        <w:t>4</w:t>
      </w:r>
      <w:r>
        <w:rPr>
          <w:rFonts w:hint="eastAsia" w:ascii="Times New Roman" w:hAnsi="Times New Roman" w:eastAsia="宋体"/>
          <w:color w:val="auto"/>
        </w:rPr>
        <w:t>-1：</w:t>
      </w:r>
    </w:p>
    <w:p>
      <w:pPr>
        <w:pageBreakBefore w:val="0"/>
        <w:widowControl/>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bCs/>
          <w:color w:val="000000" w:themeColor="text1"/>
          <w:szCs w:val="21"/>
          <w:highlight w:val="none"/>
          <w14:textFill>
            <w14:solidFill>
              <w14:schemeClr w14:val="tx1"/>
            </w14:solidFill>
          </w14:textFill>
        </w:rPr>
      </w:pPr>
      <w:r>
        <w:rPr>
          <w:rFonts w:ascii="Times New Roman" w:hAnsi="Times New Roman" w:eastAsia="宋体" w:cs="Times New Roman"/>
          <w:b/>
          <w:bCs/>
          <w:color w:val="auto"/>
          <w:kern w:val="0"/>
          <w:szCs w:val="21"/>
        </w:rPr>
        <w:t>表4.</w:t>
      </w:r>
      <w:r>
        <w:rPr>
          <w:rFonts w:hint="eastAsia" w:ascii="Times New Roman" w:hAnsi="Times New Roman" w:eastAsia="宋体" w:cs="Times New Roman"/>
          <w:b/>
          <w:bCs/>
          <w:color w:val="auto"/>
          <w:kern w:val="0"/>
          <w:szCs w:val="21"/>
          <w:lang w:val="en-US" w:eastAsia="zh-CN"/>
        </w:rPr>
        <w:t>4</w:t>
      </w:r>
      <w:r>
        <w:rPr>
          <w:rFonts w:ascii="Times New Roman" w:hAnsi="Times New Roman" w:eastAsia="宋体" w:cs="Times New Roman"/>
          <w:b/>
          <w:bCs/>
          <w:color w:val="auto"/>
          <w:kern w:val="0"/>
          <w:szCs w:val="21"/>
        </w:rPr>
        <w:t>-</w:t>
      </w:r>
      <w:r>
        <w:rPr>
          <w:rFonts w:hint="eastAsia" w:ascii="Times New Roman" w:hAnsi="Times New Roman" w:eastAsia="宋体" w:cs="Times New Roman"/>
          <w:b/>
          <w:bCs/>
          <w:color w:val="auto"/>
          <w:kern w:val="0"/>
          <w:szCs w:val="21"/>
        </w:rPr>
        <w:t>1</w:t>
      </w:r>
      <w:r>
        <w:rPr>
          <w:rFonts w:hint="eastAsia" w:ascii="Times New Roman" w:hAnsi="Times New Roman" w:eastAsia="宋体" w:cs="Times New Roman"/>
          <w:b/>
          <w:bCs/>
          <w:color w:val="auto"/>
          <w:kern w:val="0"/>
          <w:szCs w:val="21"/>
          <w:lang w:val="en-US" w:eastAsia="zh-CN"/>
        </w:rPr>
        <w:t xml:space="preserve">  </w:t>
      </w:r>
      <w:r>
        <w:rPr>
          <w:rFonts w:hint="eastAsia" w:ascii="Times New Roman" w:hAnsi="Times New Roman" w:eastAsia="宋体" w:cs="Times New Roman"/>
          <w:b/>
          <w:bCs/>
          <w:color w:val="auto"/>
          <w:szCs w:val="21"/>
        </w:rPr>
        <w:t>环境</w:t>
      </w:r>
      <w:r>
        <w:rPr>
          <w:rFonts w:hint="eastAsia" w:ascii="Times New Roman" w:hAnsi="Times New Roman" w:eastAsia="宋体" w:cs="Times New Roman"/>
          <w:b/>
          <w:bCs/>
          <w:color w:val="auto"/>
          <w:szCs w:val="21"/>
          <w:highlight w:val="none"/>
        </w:rPr>
        <w:t>保护措施投资及“</w:t>
      </w:r>
      <w:r>
        <w:rPr>
          <w:rFonts w:hint="eastAsia" w:ascii="Times New Roman" w:hAnsi="Times New Roman" w:eastAsia="宋体" w:cs="Times New Roman"/>
          <w:b/>
          <w:bCs/>
          <w:color w:val="000000" w:themeColor="text1"/>
          <w:szCs w:val="21"/>
          <w:highlight w:val="none"/>
          <w14:textFill>
            <w14:solidFill>
              <w14:schemeClr w14:val="tx1"/>
            </w14:solidFill>
          </w14:textFill>
        </w:rPr>
        <w:t>三同时”落实情况</w:t>
      </w:r>
      <w:r>
        <w:rPr>
          <w:rFonts w:ascii="Times New Roman" w:hAnsi="Times New Roman" w:eastAsia="宋体" w:cs="Times New Roman"/>
          <w:b/>
          <w:bCs/>
          <w:color w:val="000000" w:themeColor="text1"/>
          <w:szCs w:val="21"/>
          <w:highlight w:val="none"/>
          <w14:textFill>
            <w14:solidFill>
              <w14:schemeClr w14:val="tx1"/>
            </w14:solidFill>
          </w14:textFill>
        </w:rPr>
        <w:t>表</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517"/>
        <w:gridCol w:w="727"/>
        <w:gridCol w:w="2337"/>
        <w:gridCol w:w="973"/>
        <w:gridCol w:w="2492"/>
        <w:gridCol w:w="1007"/>
        <w:gridCol w:w="8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污染源</w:t>
            </w:r>
          </w:p>
        </w:tc>
        <w:tc>
          <w:tcPr>
            <w:tcW w:w="1906" w:type="pct"/>
            <w:gridSpan w:val="3"/>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环评建设情况</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eastAsia" w:ascii="Times New Roman" w:hAnsi="Times New Roman" w:eastAsia="宋体" w:cs="Times New Roman"/>
                <w:b/>
                <w:bCs w:val="0"/>
                <w:szCs w:val="21"/>
                <w:lang w:eastAsia="zh-CN"/>
              </w:rPr>
              <w:t>计划</w:t>
            </w:r>
            <w:r>
              <w:rPr>
                <w:rFonts w:hint="default" w:ascii="Times New Roman" w:hAnsi="Times New Roman" w:eastAsia="宋体" w:cs="Times New Roman"/>
                <w:b/>
                <w:bCs w:val="0"/>
                <w:szCs w:val="21"/>
              </w:rPr>
              <w:t>投资</w:t>
            </w:r>
          </w:p>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（万元）</w:t>
            </w:r>
          </w:p>
        </w:tc>
        <w:tc>
          <w:tcPr>
            <w:tcW w:w="1326" w:type="pct"/>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实际建设情况</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b/>
                <w:bCs w:val="0"/>
                <w:szCs w:val="21"/>
              </w:rPr>
            </w:pPr>
            <w:r>
              <w:rPr>
                <w:rFonts w:hint="eastAsia" w:ascii="Times New Roman" w:hAnsi="Times New Roman" w:eastAsia="宋体" w:cs="Times New Roman"/>
                <w:b/>
                <w:bCs w:val="0"/>
                <w:szCs w:val="21"/>
                <w:lang w:eastAsia="zh-CN"/>
              </w:rPr>
              <w:t>实际</w:t>
            </w:r>
            <w:r>
              <w:rPr>
                <w:rFonts w:hint="default" w:ascii="Times New Roman" w:hAnsi="Times New Roman" w:eastAsia="宋体" w:cs="Times New Roman"/>
                <w:b/>
                <w:bCs w:val="0"/>
                <w:szCs w:val="21"/>
              </w:rPr>
              <w:t>投资</w:t>
            </w:r>
          </w:p>
          <w:p>
            <w:pPr>
              <w:spacing w:line="240" w:lineRule="auto"/>
              <w:jc w:val="center"/>
              <w:rPr>
                <w:rFonts w:hint="default" w:ascii="Times New Roman" w:hAnsi="Times New Roman" w:eastAsia="宋体" w:cs="Times New Roman"/>
                <w:b/>
                <w:bCs w:val="0"/>
                <w:szCs w:val="21"/>
              </w:rPr>
            </w:pPr>
            <w:r>
              <w:rPr>
                <w:rFonts w:hint="default" w:ascii="Times New Roman" w:hAnsi="Times New Roman" w:eastAsia="宋体" w:cs="Times New Roman"/>
                <w:b/>
                <w:bCs w:val="0"/>
                <w:szCs w:val="21"/>
              </w:rPr>
              <w:t>（万元）</w:t>
            </w:r>
          </w:p>
        </w:tc>
        <w:tc>
          <w:tcPr>
            <w:tcW w:w="441" w:type="pct"/>
            <w:tcBorders>
              <w:tl2br w:val="nil"/>
              <w:tr2bl w:val="nil"/>
            </w:tcBorders>
            <w:noWrap w:val="0"/>
            <w:vAlign w:val="center"/>
          </w:tcPr>
          <w:p>
            <w:pPr>
              <w:spacing w:line="240" w:lineRule="auto"/>
              <w:jc w:val="center"/>
              <w:rPr>
                <w:rFonts w:hint="eastAsia" w:ascii="Times New Roman" w:hAnsi="Times New Roman" w:eastAsia="宋体" w:cs="Times New Roman"/>
                <w:b/>
                <w:bCs w:val="0"/>
                <w:szCs w:val="21"/>
                <w:lang w:eastAsia="zh-CN"/>
              </w:rPr>
            </w:pPr>
            <w:r>
              <w:rPr>
                <w:rFonts w:hint="eastAsia" w:ascii="Times New Roman" w:hAnsi="Times New Roman" w:eastAsia="宋体" w:cs="Times New Roman"/>
                <w:b/>
                <w:bCs w:val="0"/>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废气</w:t>
            </w:r>
          </w:p>
        </w:tc>
        <w:tc>
          <w:tcPr>
            <w:tcW w:w="275"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生产车间</w:t>
            </w:r>
          </w:p>
        </w:tc>
        <w:tc>
          <w:tcPr>
            <w:tcW w:w="387"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熔融挤出工序</w:t>
            </w:r>
          </w:p>
        </w:tc>
        <w:tc>
          <w:tcPr>
            <w:tcW w:w="1244" w:type="pct"/>
            <w:tcBorders>
              <w:tl2br w:val="nil"/>
              <w:tr2bl w:val="nil"/>
            </w:tcBorders>
            <w:noWrap w:val="0"/>
            <w:vAlign w:val="center"/>
          </w:tcPr>
          <w:p>
            <w:pPr>
              <w:autoSpaceDE w:val="0"/>
              <w:autoSpaceDN w:val="0"/>
              <w:adjustRightInd w:val="0"/>
              <w:snapToGri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18套集气罩（收集效率90%）+3套</w:t>
            </w:r>
            <w:r>
              <w:rPr>
                <w:rFonts w:hint="eastAsia" w:ascii="Times New Roman" w:hAnsi="Times New Roman" w:eastAsia="宋体" w:cs="Times New Roman"/>
                <w:kern w:val="0"/>
                <w:szCs w:val="21"/>
                <w:lang w:eastAsia="zh-CN"/>
              </w:rPr>
              <w:t>除油装置</w:t>
            </w:r>
            <w:r>
              <w:rPr>
                <w:rFonts w:hint="eastAsia" w:ascii="Times New Roman" w:hAnsi="Times New Roman" w:eastAsia="宋体" w:cs="Times New Roman"/>
                <w:kern w:val="0"/>
                <w:szCs w:val="21"/>
                <w:lang w:val="en-US" w:eastAsia="zh-CN"/>
              </w:rPr>
              <w:t>+3套</w:t>
            </w:r>
            <w:r>
              <w:rPr>
                <w:rFonts w:hint="default" w:ascii="Times New Roman" w:hAnsi="Times New Roman" w:eastAsia="宋体" w:cs="Times New Roman"/>
                <w:kern w:val="0"/>
                <w:szCs w:val="21"/>
              </w:rPr>
              <w:t>“UV光解+</w:t>
            </w:r>
            <w:r>
              <w:rPr>
                <w:rFonts w:hint="eastAsia" w:ascii="Times New Roman" w:hAnsi="Times New Roman" w:eastAsia="宋体" w:cs="Times New Roman"/>
                <w:kern w:val="0"/>
                <w:szCs w:val="21"/>
                <w:lang w:eastAsia="zh-CN"/>
              </w:rPr>
              <w:t>活性炭吸附</w:t>
            </w:r>
            <w:r>
              <w:rPr>
                <w:rFonts w:hint="default" w:ascii="Times New Roman" w:hAnsi="Times New Roman" w:eastAsia="宋体" w:cs="Times New Roman"/>
                <w:kern w:val="0"/>
                <w:szCs w:val="21"/>
              </w:rPr>
              <w:t>装置”（处理效率90%）+1根15m高排气筒（1#，内径0.</w:t>
            </w:r>
            <w:r>
              <w:rPr>
                <w:rFonts w:hint="eastAsia" w:ascii="Times New Roman" w:hAnsi="Times New Roman" w:eastAsia="宋体" w:cs="Times New Roman"/>
                <w:kern w:val="0"/>
                <w:szCs w:val="21"/>
                <w:lang w:val="en-US" w:eastAsia="zh-CN"/>
              </w:rPr>
              <w:t>6</w:t>
            </w:r>
            <w:r>
              <w:rPr>
                <w:rFonts w:hint="default" w:ascii="Times New Roman" w:hAnsi="Times New Roman" w:eastAsia="宋体" w:cs="Times New Roman"/>
                <w:kern w:val="0"/>
                <w:szCs w:val="21"/>
              </w:rPr>
              <w:t>m）</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3</w:t>
            </w:r>
            <w:r>
              <w:rPr>
                <w:rFonts w:hint="default" w:ascii="Times New Roman" w:hAnsi="Times New Roman" w:eastAsia="宋体" w:cs="Times New Roman"/>
                <w:szCs w:val="21"/>
              </w:rPr>
              <w:t>0</w:t>
            </w:r>
          </w:p>
        </w:tc>
        <w:tc>
          <w:tcPr>
            <w:tcW w:w="1326" w:type="pct"/>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Cs w:val="21"/>
                <w:lang w:val="en-US" w:eastAsia="zh-CN"/>
              </w:rPr>
              <w:t>3</w:t>
            </w:r>
            <w:r>
              <w:rPr>
                <w:rFonts w:hint="default" w:ascii="Times New Roman" w:hAnsi="Times New Roman" w:eastAsia="宋体" w:cs="Times New Roman"/>
                <w:color w:val="auto"/>
                <w:kern w:val="0"/>
                <w:szCs w:val="21"/>
              </w:rPr>
              <w:t>套集气罩（收集效率90%）+</w:t>
            </w:r>
            <w:r>
              <w:rPr>
                <w:rFonts w:hint="eastAsia" w:ascii="Times New Roman" w:hAnsi="Times New Roman" w:eastAsia="宋体" w:cs="Times New Roman"/>
                <w:color w:val="auto"/>
                <w:kern w:val="0"/>
                <w:szCs w:val="21"/>
                <w:lang w:val="en-US" w:eastAsia="zh-CN"/>
              </w:rPr>
              <w:t>1</w:t>
            </w:r>
            <w:r>
              <w:rPr>
                <w:rFonts w:hint="default" w:ascii="Times New Roman" w:hAnsi="Times New Roman" w:eastAsia="宋体" w:cs="Times New Roman"/>
                <w:color w:val="auto"/>
                <w:kern w:val="0"/>
                <w:szCs w:val="21"/>
              </w:rPr>
              <w:t>套</w:t>
            </w:r>
            <w:r>
              <w:rPr>
                <w:rFonts w:hint="eastAsia" w:ascii="Times New Roman" w:hAnsi="Times New Roman" w:eastAsia="宋体" w:cs="Times New Roman"/>
                <w:color w:val="auto"/>
                <w:kern w:val="0"/>
                <w:szCs w:val="21"/>
                <w:lang w:eastAsia="zh-CN"/>
              </w:rPr>
              <w:t>除油装置</w:t>
            </w:r>
            <w:r>
              <w:rPr>
                <w:rFonts w:hint="eastAsia" w:ascii="Times New Roman" w:hAnsi="Times New Roman" w:eastAsia="宋体" w:cs="Times New Roman"/>
                <w:color w:val="auto"/>
                <w:kern w:val="0"/>
                <w:szCs w:val="21"/>
                <w:lang w:val="en-US" w:eastAsia="zh-CN"/>
              </w:rPr>
              <w:t>+1套</w:t>
            </w:r>
            <w:r>
              <w:rPr>
                <w:rFonts w:hint="default"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eastAsia="zh-CN"/>
              </w:rPr>
              <w:t>高压静电</w:t>
            </w:r>
            <w:r>
              <w:rPr>
                <w:rFonts w:hint="default"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eastAsia="zh-CN"/>
              </w:rPr>
              <w:t>活性炭吸附</w:t>
            </w:r>
            <w:r>
              <w:rPr>
                <w:rFonts w:hint="default" w:ascii="Times New Roman" w:hAnsi="Times New Roman" w:eastAsia="宋体" w:cs="Times New Roman"/>
                <w:color w:val="auto"/>
                <w:kern w:val="0"/>
                <w:szCs w:val="21"/>
              </w:rPr>
              <w:t>装置”（处理效率90%）+1根15m高排气筒（1#，内径0.</w:t>
            </w:r>
            <w:r>
              <w:rPr>
                <w:rFonts w:hint="eastAsia" w:ascii="Times New Roman" w:hAnsi="Times New Roman" w:eastAsia="宋体" w:cs="Times New Roman"/>
                <w:color w:val="auto"/>
                <w:kern w:val="0"/>
                <w:szCs w:val="21"/>
                <w:lang w:val="en-US" w:eastAsia="zh-CN"/>
              </w:rPr>
              <w:t>6</w:t>
            </w:r>
            <w:r>
              <w:rPr>
                <w:rFonts w:hint="default" w:ascii="Times New Roman" w:hAnsi="Times New Roman" w:eastAsia="宋体" w:cs="Times New Roman"/>
                <w:color w:val="auto"/>
                <w:kern w:val="0"/>
                <w:szCs w:val="21"/>
              </w:rPr>
              <w:t>m）</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441" w:type="pct"/>
            <w:vMerge w:val="restart"/>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olor w:val="000000" w:themeColor="text1"/>
                <w14:textFill>
                  <w14:solidFill>
                    <w14:schemeClr w14:val="tx1"/>
                  </w14:solidFill>
                </w14:textFill>
              </w:rPr>
              <w:t>与主体工程同时设计、同时施</w:t>
            </w:r>
            <w:r>
              <w:rPr>
                <w:rFonts w:hint="eastAsia" w:ascii="Times New Roman" w:hAnsi="Times New Roman" w:eastAsia="宋体"/>
                <w:color w:val="auto"/>
              </w:rPr>
              <w:t>工、同时投产使用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6"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bookmarkStart w:id="65" w:name="_Hlk215481095"/>
            <w:r>
              <w:rPr>
                <w:rFonts w:hint="default" w:ascii="Times New Roman" w:hAnsi="Times New Roman" w:eastAsia="宋体" w:cs="Times New Roman"/>
                <w:szCs w:val="21"/>
              </w:rPr>
              <w:t>废水</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rPr>
            </w:pPr>
            <w:r>
              <w:rPr>
                <w:rFonts w:hint="default" w:ascii="Times New Roman" w:hAnsi="Times New Roman" w:eastAsia="宋体" w:cs="Times New Roman"/>
              </w:rPr>
              <w:t>雨水管网依托房东现有（</w:t>
            </w:r>
            <w:r>
              <w:rPr>
                <w:rFonts w:hint="default" w:ascii="Times New Roman" w:hAnsi="Times New Roman" w:eastAsia="宋体" w:cs="Times New Roman"/>
                <w:szCs w:val="21"/>
              </w:rPr>
              <w:t>不计入环保投资</w:t>
            </w:r>
            <w:r>
              <w:rPr>
                <w:rFonts w:hint="default" w:ascii="Times New Roman" w:hAnsi="Times New Roman" w:eastAsia="宋体" w:cs="Times New Roman"/>
              </w:rPr>
              <w:t>）。</w:t>
            </w:r>
            <w:r>
              <w:rPr>
                <w:rFonts w:hint="default" w:ascii="Times New Roman" w:hAnsi="Times New Roman" w:eastAsia="宋体" w:cs="Times New Roman"/>
                <w:color w:val="auto"/>
                <w:sz w:val="21"/>
                <w:szCs w:val="21"/>
              </w:rPr>
              <w:t>厂区北侧设置1座一体化污水处理设施，设计处理能力2.0t/d。</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rPr>
              <w:t>雨水管网依托房东现有（</w:t>
            </w:r>
            <w:r>
              <w:rPr>
                <w:rFonts w:hint="default" w:ascii="Times New Roman" w:hAnsi="Times New Roman" w:eastAsia="宋体" w:cs="Times New Roman"/>
                <w:szCs w:val="21"/>
              </w:rPr>
              <w:t>不计入环保投资</w:t>
            </w:r>
            <w:r>
              <w:rPr>
                <w:rFonts w:hint="default" w:ascii="Times New Roman" w:hAnsi="Times New Roman" w:eastAsia="宋体" w:cs="Times New Roman"/>
              </w:rPr>
              <w:t>）。</w:t>
            </w:r>
            <w:r>
              <w:rPr>
                <w:rFonts w:hint="default" w:ascii="Times New Roman" w:hAnsi="Times New Roman" w:eastAsia="宋体" w:cs="Times New Roman"/>
                <w:color w:val="auto"/>
                <w:sz w:val="21"/>
                <w:szCs w:val="21"/>
              </w:rPr>
              <w:t>厂区北侧设置1座一体化污水处理设施，设计处理能力2.0t/d。</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分区防渗</w:t>
            </w:r>
          </w:p>
        </w:tc>
        <w:tc>
          <w:tcPr>
            <w:tcW w:w="662" w:type="pct"/>
            <w:gridSpan w:val="2"/>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重点防渗区</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危废分类存放，分类采用桶装。</w:t>
            </w:r>
          </w:p>
        </w:tc>
        <w:tc>
          <w:tcPr>
            <w:tcW w:w="518"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5.0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危废库、事故池重点防渗，</w:t>
            </w:r>
            <w:r>
              <w:rPr>
                <w:rFonts w:hint="default" w:ascii="Times New Roman" w:hAnsi="Times New Roman" w:eastAsia="宋体" w:cs="Times New Roman"/>
                <w:snapToGrid w:val="0"/>
                <w:kern w:val="0"/>
                <w:szCs w:val="21"/>
              </w:rPr>
              <w:t>各单元等效黏土防渗层Mb≥6.0m，防渗层渗透系数K≤1×10</w:t>
            </w:r>
            <w:r>
              <w:rPr>
                <w:rFonts w:hint="default" w:ascii="Times New Roman" w:hAnsi="Times New Roman" w:eastAsia="宋体" w:cs="Times New Roman"/>
                <w:snapToGrid w:val="0"/>
                <w:kern w:val="0"/>
                <w:szCs w:val="21"/>
                <w:vertAlign w:val="superscript"/>
              </w:rPr>
              <w:t>-7</w:t>
            </w:r>
            <w:r>
              <w:rPr>
                <w:rFonts w:hint="default" w:ascii="Times New Roman" w:hAnsi="Times New Roman" w:eastAsia="宋体" w:cs="Times New Roman"/>
                <w:snapToGrid w:val="0"/>
                <w:kern w:val="0"/>
                <w:szCs w:val="21"/>
              </w:rPr>
              <w:t>cm/s。</w:t>
            </w:r>
            <w:r>
              <w:rPr>
                <w:rFonts w:hint="default" w:ascii="Times New Roman" w:hAnsi="Times New Roman" w:eastAsia="宋体" w:cs="Times New Roman"/>
                <w:szCs w:val="21"/>
              </w:rPr>
              <w:t>危废分类存放，分类采用桶装。</w:t>
            </w:r>
          </w:p>
        </w:tc>
        <w:tc>
          <w:tcPr>
            <w:tcW w:w="53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5.0</w:t>
            </w:r>
          </w:p>
        </w:tc>
        <w:tc>
          <w:tcPr>
            <w:tcW w:w="441" w:type="pct"/>
            <w:vMerge w:val="continue"/>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662" w:type="pct"/>
            <w:gridSpan w:val="2"/>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一般防渗区</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18"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生产区等，要求等效粘土防渗层Mb≥1.5m，渗透系数K≤10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53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2.0</w:t>
            </w:r>
          </w:p>
        </w:tc>
        <w:tc>
          <w:tcPr>
            <w:tcW w:w="441" w:type="pct"/>
            <w:vMerge w:val="continue"/>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restar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固废</w:t>
            </w:r>
          </w:p>
        </w:tc>
        <w:tc>
          <w:tcPr>
            <w:tcW w:w="662" w:type="pct"/>
            <w:gridSpan w:val="2"/>
            <w:tcBorders>
              <w:tl2br w:val="nil"/>
              <w:tr2bl w:val="nil"/>
            </w:tcBorders>
            <w:noWrap w:val="0"/>
            <w:vAlign w:val="center"/>
          </w:tcPr>
          <w:p>
            <w:pPr>
              <w:widowControl/>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生活垃圾</w:t>
            </w:r>
          </w:p>
        </w:tc>
        <w:tc>
          <w:tcPr>
            <w:tcW w:w="1244" w:type="pct"/>
            <w:tcBorders>
              <w:tl2br w:val="nil"/>
              <w:tr2bl w:val="nil"/>
            </w:tcBorders>
            <w:noWrap w:val="0"/>
            <w:vAlign w:val="center"/>
          </w:tcPr>
          <w:p>
            <w:pPr>
              <w:widowControl/>
              <w:spacing w:line="240" w:lineRule="auto"/>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生活垃圾集中收集后，交由环卫部门统一清运处理。</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1326" w:type="pct"/>
            <w:tcBorders>
              <w:tl2br w:val="nil"/>
              <w:tr2bl w:val="nil"/>
            </w:tcBorders>
            <w:noWrap w:val="0"/>
            <w:vAlign w:val="center"/>
          </w:tcPr>
          <w:p>
            <w:pPr>
              <w:widowControl/>
              <w:spacing w:line="240" w:lineRule="auto"/>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生活垃圾集中收集后，交由环卫部门统一清运处理。</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c>
          <w:tcPr>
            <w:tcW w:w="662" w:type="pct"/>
            <w:gridSpan w:val="2"/>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危险固废堆放场所</w:t>
            </w:r>
          </w:p>
        </w:tc>
        <w:tc>
          <w:tcPr>
            <w:tcW w:w="1244"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新建1间独立危废库，位于生产车间内西南侧，建筑面积约10m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kern w:val="0"/>
                <w:szCs w:val="21"/>
                <w:lang w:eastAsia="zh-CN"/>
              </w:rPr>
              <w:t>废过滤网（含滤渣）、废活性炭、废油脂、</w:t>
            </w:r>
            <w:r>
              <w:rPr>
                <w:rFonts w:hint="default" w:ascii="Times New Roman" w:hAnsi="Times New Roman" w:eastAsia="宋体" w:cs="Times New Roman"/>
                <w:kern w:val="0"/>
                <w:szCs w:val="21"/>
              </w:rPr>
              <w:t>废UV灯管安全暂存于危废库内，</w:t>
            </w:r>
            <w:r>
              <w:rPr>
                <w:rFonts w:hint="default" w:ascii="Times New Roman" w:hAnsi="Times New Roman" w:eastAsia="宋体" w:cs="Times New Roman"/>
                <w:szCs w:val="21"/>
              </w:rPr>
              <w:t>重点防渗，</w:t>
            </w:r>
            <w:r>
              <w:rPr>
                <w:rFonts w:hint="default" w:ascii="Times New Roman" w:hAnsi="Times New Roman" w:eastAsia="宋体" w:cs="Times New Roman"/>
                <w:snapToGrid w:val="0"/>
                <w:kern w:val="0"/>
                <w:szCs w:val="21"/>
              </w:rPr>
              <w:t>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1326" w:type="pct"/>
            <w:tcBorders>
              <w:tl2br w:val="nil"/>
              <w:tr2bl w:val="nil"/>
            </w:tcBorders>
            <w:noWrap w:val="0"/>
            <w:vAlign w:val="center"/>
          </w:tcPr>
          <w:p>
            <w:pPr>
              <w:adjustRightInd w:val="0"/>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新建1间独立危废库，位于生产车间内西南侧，建筑面积约10m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p>
            <w:pPr>
              <w:spacing w:line="240" w:lineRule="auto"/>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0"/>
                <w:szCs w:val="21"/>
                <w:lang w:eastAsia="zh-CN"/>
              </w:rPr>
              <w:t>废过滤网（含滤渣）、废活性炭、废油脂、</w:t>
            </w:r>
            <w:r>
              <w:rPr>
                <w:rFonts w:hint="default" w:ascii="Times New Roman" w:hAnsi="Times New Roman" w:eastAsia="宋体" w:cs="Times New Roman"/>
                <w:kern w:val="0"/>
                <w:szCs w:val="21"/>
              </w:rPr>
              <w:t>安全暂存于危废库内，</w:t>
            </w:r>
            <w:r>
              <w:rPr>
                <w:rFonts w:hint="default" w:ascii="Times New Roman" w:hAnsi="Times New Roman" w:eastAsia="宋体" w:cs="Times New Roman"/>
                <w:szCs w:val="21"/>
              </w:rPr>
              <w:t>重点防渗，</w:t>
            </w:r>
            <w:r>
              <w:rPr>
                <w:rFonts w:hint="default" w:ascii="Times New Roman" w:hAnsi="Times New Roman" w:eastAsia="宋体" w:cs="Times New Roman"/>
                <w:snapToGrid w:val="0"/>
                <w:kern w:val="0"/>
                <w:szCs w:val="21"/>
              </w:rPr>
              <w:t>防渗层渗透系数K≤1×10</w:t>
            </w:r>
            <w:r>
              <w:rPr>
                <w:rFonts w:hint="default" w:ascii="Times New Roman" w:hAnsi="Times New Roman" w:eastAsia="宋体" w:cs="Times New Roman"/>
                <w:snapToGrid w:val="0"/>
                <w:kern w:val="0"/>
                <w:szCs w:val="21"/>
                <w:vertAlign w:val="superscript"/>
              </w:rPr>
              <w:t>-</w:t>
            </w:r>
            <w:r>
              <w:rPr>
                <w:rFonts w:hint="default" w:ascii="Times New Roman" w:hAnsi="Times New Roman" w:eastAsia="宋体" w:cs="Times New Roman"/>
                <w:snapToGrid w:val="0"/>
                <w:kern w:val="0"/>
                <w:szCs w:val="21"/>
                <w:vertAlign w:val="superscript"/>
                <w:lang w:val="en-US" w:eastAsia="zh-CN"/>
              </w:rPr>
              <w:t>7</w:t>
            </w:r>
            <w:r>
              <w:rPr>
                <w:rFonts w:hint="default" w:ascii="Times New Roman" w:hAnsi="Times New Roman" w:eastAsia="宋体" w:cs="Times New Roman"/>
                <w:snapToGrid w:val="0"/>
                <w:kern w:val="0"/>
                <w:szCs w:val="21"/>
              </w:rPr>
              <w:t>cm/s。</w:t>
            </w:r>
          </w:p>
        </w:tc>
        <w:tc>
          <w:tcPr>
            <w:tcW w:w="536" w:type="pct"/>
            <w:tcBorders>
              <w:tl2br w:val="nil"/>
              <w:tr2bl w:val="nil"/>
            </w:tcBorders>
            <w:noWrap w:val="0"/>
            <w:vAlign w:val="center"/>
          </w:tcPr>
          <w:p>
            <w:pPr>
              <w:spacing w:line="240" w:lineRule="auto"/>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10</w:t>
            </w:r>
          </w:p>
        </w:tc>
        <w:tc>
          <w:tcPr>
            <w:tcW w:w="441"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合理车间布局，选用低噪声设备、设置减振垫、厂房隔声等</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Cs w:val="21"/>
              </w:rPr>
              <w:t>合理车间布局，选用低噪声设备、设置减振垫、厂房隔声等</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2.0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风险</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1个2</w:t>
            </w:r>
            <w:r>
              <w:rPr>
                <w:rFonts w:hint="default" w:ascii="Times New Roman" w:hAnsi="Times New Roman" w:eastAsia="宋体" w:cs="Times New Roman"/>
                <w:szCs w:val="21"/>
                <w:lang w:val="en-US" w:eastAsia="zh-CN"/>
              </w:rPr>
              <w:t>6</w:t>
            </w:r>
            <w:r>
              <w:rPr>
                <w:rFonts w:hint="default" w:ascii="Times New Roman" w:hAnsi="Times New Roman" w:eastAsia="宋体" w:cs="Times New Roman"/>
                <w:szCs w:val="21"/>
              </w:rPr>
              <w:t>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的事故应急池，设置位置为生产车间</w:t>
            </w:r>
            <w:r>
              <w:rPr>
                <w:rFonts w:hint="eastAsia" w:ascii="Times New Roman" w:hAnsi="Times New Roman" w:eastAsia="宋体" w:cs="Times New Roman"/>
                <w:szCs w:val="21"/>
                <w:lang w:eastAsia="zh-CN"/>
              </w:rPr>
              <w:t>东北侧</w:t>
            </w:r>
            <w:r>
              <w:rPr>
                <w:rFonts w:hint="default" w:ascii="Times New Roman" w:hAnsi="Times New Roman" w:eastAsia="宋体" w:cs="Times New Roman"/>
                <w:szCs w:val="21"/>
              </w:rPr>
              <w:t>，重点防渗</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10.0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Cs w:val="21"/>
              </w:rPr>
              <w:t>事故应急池，设置位置为生产车间</w:t>
            </w:r>
            <w:r>
              <w:rPr>
                <w:rFonts w:hint="eastAsia" w:ascii="Times New Roman" w:hAnsi="Times New Roman" w:eastAsia="宋体" w:cs="Times New Roman"/>
                <w:color w:val="auto"/>
                <w:szCs w:val="21"/>
                <w:lang w:eastAsia="zh-CN"/>
              </w:rPr>
              <w:t>东侧</w:t>
            </w:r>
            <w:r>
              <w:rPr>
                <w:rFonts w:hint="default" w:ascii="Times New Roman" w:hAnsi="Times New Roman" w:eastAsia="宋体" w:cs="Times New Roman"/>
                <w:color w:val="auto"/>
                <w:szCs w:val="21"/>
              </w:rPr>
              <w:t>，重点防渗</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10.0</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绿化</w:t>
            </w:r>
          </w:p>
        </w:tc>
        <w:tc>
          <w:tcPr>
            <w:tcW w:w="1906" w:type="pct"/>
            <w:gridSpan w:val="3"/>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依托现有</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依托现有</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w:t>
            </w:r>
          </w:p>
        </w:tc>
        <w:tc>
          <w:tcPr>
            <w:tcW w:w="441"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szCs w:val="21"/>
              </w:rPr>
            </w:pPr>
          </w:p>
        </w:tc>
      </w:tr>
      <w:bookmarkEnd w:id="6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77" w:type="pct"/>
            <w:gridSpan w:val="4"/>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合计</w:t>
            </w:r>
          </w:p>
        </w:tc>
        <w:tc>
          <w:tcPr>
            <w:tcW w:w="518" w:type="pct"/>
            <w:tcBorders>
              <w:tl2br w:val="nil"/>
              <w:tr2bl w:val="nil"/>
            </w:tcBorders>
            <w:noWrap w:val="0"/>
            <w:vAlign w:val="center"/>
          </w:tcPr>
          <w:p>
            <w:pPr>
              <w:spacing w:line="240" w:lineRule="auto"/>
              <w:jc w:val="center"/>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70</w:t>
            </w:r>
            <w:r>
              <w:rPr>
                <w:rFonts w:hint="default" w:ascii="Times New Roman" w:hAnsi="Times New Roman" w:eastAsia="宋体" w:cs="Times New Roman"/>
                <w:szCs w:val="21"/>
              </w:rPr>
              <w:t>.0</w:t>
            </w:r>
          </w:p>
        </w:tc>
        <w:tc>
          <w:tcPr>
            <w:tcW w:w="132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c>
          <w:tcPr>
            <w:tcW w:w="536" w:type="pct"/>
            <w:tcBorders>
              <w:tl2br w:val="nil"/>
              <w:tr2bl w:val="nil"/>
            </w:tcBorders>
            <w:noWrap w:val="0"/>
            <w:vAlign w:val="center"/>
          </w:tcPr>
          <w:p>
            <w:pPr>
              <w:spacing w:line="24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50.0</w:t>
            </w:r>
          </w:p>
        </w:tc>
        <w:tc>
          <w:tcPr>
            <w:tcW w:w="441" w:type="pct"/>
            <w:vMerge w:val="continue"/>
            <w:tcBorders>
              <w:tl2br w:val="nil"/>
              <w:tr2bl w:val="nil"/>
            </w:tcBorders>
            <w:noWrap w:val="0"/>
            <w:vAlign w:val="center"/>
          </w:tcPr>
          <w:p>
            <w:pPr>
              <w:spacing w:line="240" w:lineRule="auto"/>
              <w:jc w:val="center"/>
              <w:rPr>
                <w:rFonts w:hint="eastAsia" w:ascii="Times New Roman" w:hAnsi="Times New Roman" w:eastAsia="宋体" w:cs="Times New Roman"/>
                <w:szCs w:val="21"/>
                <w:lang w:val="en-US" w:eastAsia="zh-CN"/>
              </w:rPr>
            </w:pPr>
          </w:p>
        </w:tc>
      </w:tr>
    </w:tbl>
    <w:p>
      <w:pPr>
        <w:pStyle w:val="36"/>
        <w:rPr>
          <w:rFonts w:ascii="Times New Roman" w:hAnsi="Times New Roman" w:eastAsia="宋体"/>
        </w:rPr>
      </w:pPr>
    </w:p>
    <w:p>
      <w:pPr>
        <w:pStyle w:val="36"/>
        <w:rPr>
          <w:rFonts w:hint="default" w:ascii="Times New Roman" w:hAnsi="Times New Roman" w:eastAsia="宋体"/>
          <w:lang w:val="en-US" w:eastAsia="zh-CN"/>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lang w:val="en-US" w:eastAsia="zh-CN"/>
        </w:rPr>
        <w:t xml:space="preserve">  </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66" w:name="_Toc507454873"/>
      <w:bookmarkStart w:id="67" w:name="_Toc23122"/>
      <w:r>
        <w:rPr>
          <w:rFonts w:hint="eastAsia" w:ascii="Times New Roman" w:hAnsi="Times New Roman" w:eastAsia="宋体"/>
          <w:color w:val="auto"/>
        </w:rPr>
        <w:t>五、环评主要结论与建议及审批意见要求</w:t>
      </w:r>
      <w:bookmarkEnd w:id="66"/>
      <w:bookmarkEnd w:id="67"/>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val="en-US" w:eastAsia="zh-CN"/>
        </w:rPr>
      </w:pPr>
      <w:bookmarkStart w:id="68" w:name="_Toc23249"/>
      <w:bookmarkStart w:id="69" w:name="_Toc507454874"/>
      <w:bookmarkStart w:id="70" w:name="_Toc495304771"/>
      <w:bookmarkStart w:id="71" w:name="_Toc507454876"/>
      <w:r>
        <w:rPr>
          <w:rFonts w:hint="eastAsia" w:ascii="Times New Roman" w:hAnsi="Times New Roman" w:eastAsia="宋体"/>
          <w:color w:val="auto"/>
          <w:lang w:val="en-US" w:eastAsia="zh-CN"/>
        </w:rPr>
        <w:t>5.1环评结论</w:t>
      </w:r>
      <w:bookmarkEnd w:id="68"/>
      <w:bookmarkEnd w:id="69"/>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bookmarkStart w:id="72" w:name="_Toc223921564"/>
      <w:bookmarkStart w:id="73" w:name="_Toc518642976"/>
      <w:bookmarkStart w:id="74" w:name="_Toc3212"/>
      <w:bookmarkStart w:id="75" w:name="_Toc27760"/>
      <w:bookmarkStart w:id="76" w:name="_Toc405803999"/>
      <w:bookmarkStart w:id="77" w:name="_Toc507454875"/>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1）</w:t>
      </w:r>
      <w:r>
        <w:rPr>
          <w:rFonts w:hint="default" w:ascii="Times New Roman" w:hAnsi="Times New Roman" w:eastAsia="宋体" w:cs="Times New Roman"/>
          <w:snapToGrid w:val="0"/>
          <w:kern w:val="20"/>
          <w:sz w:val="24"/>
          <w:szCs w:val="24"/>
        </w:rPr>
        <w:t>项目概况</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C00000"/>
          <w:kern w:val="0"/>
          <w:sz w:val="24"/>
          <w:szCs w:val="24"/>
          <w:lang w:val="en-US" w:eastAsia="zh-CN"/>
        </w:rPr>
      </w:pPr>
      <w:r>
        <w:rPr>
          <w:rFonts w:hint="default" w:ascii="Times New Roman" w:hAnsi="Times New Roman" w:eastAsia="宋体" w:cs="Times New Roman"/>
          <w:kern w:val="0"/>
          <w:sz w:val="24"/>
          <w:szCs w:val="24"/>
        </w:rPr>
        <w:t>合肥皖玻塑业有限公司拟投资2000万元，在合肥市长丰县庄墓镇合淮路东侧建设“</w:t>
      </w:r>
      <w:r>
        <w:rPr>
          <w:rFonts w:hint="default" w:ascii="Times New Roman" w:hAnsi="Times New Roman" w:eastAsia="宋体" w:cs="Times New Roman"/>
          <w:sz w:val="24"/>
          <w:szCs w:val="24"/>
        </w:rPr>
        <w:t>年产8000吨再生塑料颗粒生产项目</w:t>
      </w:r>
      <w:r>
        <w:rPr>
          <w:rFonts w:hint="default" w:ascii="Times New Roman" w:hAnsi="Times New Roman" w:eastAsia="宋体" w:cs="Times New Roman"/>
          <w:kern w:val="0"/>
          <w:sz w:val="24"/>
          <w:szCs w:val="24"/>
        </w:rPr>
        <w:t>”。项目租用合肥安玻节能玻璃技术有限公司厂房进行生产，购置挤出机、切粒机等生产设备，建设6条塑料颗粒生产线，从事再生塑料颗粒的生产。项目建成后，预计可实现年产8000吨再生塑料颗粒。</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2）</w:t>
      </w:r>
      <w:r>
        <w:rPr>
          <w:rFonts w:hint="default" w:ascii="Times New Roman" w:hAnsi="Times New Roman" w:eastAsia="宋体" w:cs="Times New Roman"/>
          <w:snapToGrid w:val="0"/>
          <w:kern w:val="20"/>
          <w:sz w:val="24"/>
          <w:szCs w:val="24"/>
        </w:rPr>
        <w:t>产业政策相符性</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对照国家发展和改革委员会《产业结构调整指导目录（2011年本）》2013 修正版和《安徽省工业产业结构调整指导目录》（2007年本），本项目为废旧塑料回收再加工，属于《产业结构调整指导目录》（2011年本）2013修正版，第一类，第三十八条环境保护与资源节约综合利用中的28条“再生资源回收利用产业化”，同时属于《安徽省工业产业结构调整指导目录》（2007年本）第十五类环境保护与资源节约综合利用第38条“再生资源回收利用产业化”，均属于鼓励类范畴，本项目生产工艺与装备均采用了先进技术、工艺和装备，提高了废塑料再生加工过程的自动化水平，能源消耗较低，生产过程及污染控制过程均满足《废塑料综合利用行业规范条件》中相关要求，项目布局合理，厂区功能划分明确，各功能区要有明显界限，且本项目主要以废旧塑料为原料，符合《废塑料回收与再生利用污染控制技术规范（试行）》中相关要求。</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因此，本项目的建设符合国家产业政策以及安徽省产业政策相关规定要求。</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3）</w:t>
      </w:r>
      <w:r>
        <w:rPr>
          <w:rFonts w:hint="default" w:ascii="Times New Roman" w:hAnsi="Times New Roman" w:eastAsia="宋体" w:cs="Times New Roman"/>
          <w:snapToGrid w:val="0"/>
          <w:kern w:val="20"/>
          <w:sz w:val="24"/>
          <w:szCs w:val="24"/>
        </w:rPr>
        <w:t>厂址选择与规划的符合性</w:t>
      </w:r>
    </w:p>
    <w:p>
      <w:pPr>
        <w:pStyle w:val="9"/>
        <w:pageBreakBefore w:val="0"/>
        <w:widowControl w:val="0"/>
        <w:kinsoku/>
        <w:wordWrap/>
        <w:overflowPunct/>
        <w:topLinePunct w:val="0"/>
        <w:bidi w:val="0"/>
        <w:adjustRightInd/>
        <w:snapToGrid/>
        <w:spacing w:after="0"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本项目用地为工业用地，项目用地符合庄墓镇总体规划要求；项目建设符合废塑料回收加工行业相关要求。综上所述，项目选址合理，符合相关规划要求。</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4）</w:t>
      </w:r>
      <w:r>
        <w:rPr>
          <w:rFonts w:hint="default" w:ascii="Times New Roman" w:hAnsi="Times New Roman" w:eastAsia="宋体" w:cs="Times New Roman"/>
          <w:snapToGrid w:val="0"/>
          <w:kern w:val="20"/>
          <w:sz w:val="24"/>
          <w:szCs w:val="24"/>
        </w:rPr>
        <w:t>区域环境质量功能</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根据本报告书环境质量状况相关内容，虽然合肥市</w:t>
      </w:r>
      <w:r>
        <w:rPr>
          <w:rFonts w:hint="default" w:ascii="Times New Roman" w:hAnsi="Times New Roman" w:eastAsia="宋体" w:cs="Times New Roman"/>
          <w:bCs/>
          <w:sz w:val="24"/>
          <w:szCs w:val="24"/>
          <w:lang w:eastAsia="zh-CN"/>
        </w:rPr>
        <w:t>长丰县</w:t>
      </w:r>
      <w:r>
        <w:rPr>
          <w:rFonts w:hint="default" w:ascii="Times New Roman" w:hAnsi="Times New Roman" w:eastAsia="宋体" w:cs="Times New Roman"/>
          <w:bCs/>
          <w:sz w:val="24"/>
          <w:szCs w:val="24"/>
        </w:rPr>
        <w:t>总体城市空气质量不达标，但根据现状监测，本项目所在区域空气环境监测结果均能满足《环境空气质量标准》（GB3095-2012）中的二级标准，环境空气质量良好；地表水体庄墓河能满足《地表水环境质量标准》（GB3838-2002）中</w:t>
      </w: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 3 \* ROMAN \* MERGEFORMAT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bCs/>
          <w:sz w:val="24"/>
          <w:szCs w:val="24"/>
        </w:rPr>
        <w:t>III</w:t>
      </w:r>
      <w:r>
        <w:rPr>
          <w:rFonts w:hint="default" w:ascii="Times New Roman" w:hAnsi="Times New Roman" w:eastAsia="宋体" w:cs="Times New Roman"/>
          <w:bCs/>
          <w:sz w:val="24"/>
          <w:szCs w:val="24"/>
        </w:rPr>
        <w:fldChar w:fldCharType="end"/>
      </w:r>
      <w:r>
        <w:rPr>
          <w:rFonts w:hint="default" w:ascii="Times New Roman" w:hAnsi="Times New Roman" w:eastAsia="宋体" w:cs="Times New Roman"/>
          <w:bCs/>
          <w:sz w:val="24"/>
          <w:szCs w:val="24"/>
        </w:rPr>
        <w:t>类标准的要求，区域地表水质较好；项目厂界噪声值均达到《声环境质量标准》（GB3096-2008）中2类标准。</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5）</w:t>
      </w:r>
      <w:r>
        <w:rPr>
          <w:rFonts w:hint="default" w:ascii="Times New Roman" w:hAnsi="Times New Roman" w:eastAsia="宋体" w:cs="Times New Roman"/>
          <w:snapToGrid w:val="0"/>
          <w:kern w:val="20"/>
          <w:sz w:val="24"/>
          <w:szCs w:val="24"/>
        </w:rPr>
        <w:t>污染物达标排放及主要环境影响</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eastAsia"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rPr>
        <w:t>①</w:t>
      </w:r>
      <w:r>
        <w:rPr>
          <w:rFonts w:hint="eastAsia" w:ascii="Times New Roman" w:hAnsi="Times New Roman" w:eastAsia="宋体" w:cs="Times New Roman"/>
          <w:kern w:val="0"/>
          <w:sz w:val="24"/>
          <w:szCs w:val="24"/>
          <w:lang w:eastAsia="zh-CN"/>
        </w:rPr>
        <w:t>废气</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根据本项目的特点，</w:t>
      </w:r>
      <w:r>
        <w:rPr>
          <w:rFonts w:hint="default" w:ascii="Times New Roman" w:hAnsi="Times New Roman" w:eastAsia="宋体" w:cs="Times New Roman"/>
          <w:sz w:val="24"/>
          <w:szCs w:val="24"/>
        </w:rPr>
        <w:t>废气主要来自于废旧塑料熔融挤出过程产生的有机废气，本报告主要以</w:t>
      </w:r>
      <w:r>
        <w:rPr>
          <w:rFonts w:hint="eastAsia" w:ascii="Times New Roman" w:hAnsi="Times New Roman" w:eastAsia="宋体" w:cs="Times New Roman"/>
          <w:sz w:val="24"/>
          <w:szCs w:val="24"/>
          <w:lang w:eastAsia="zh-CN"/>
        </w:rPr>
        <w:t>非甲烷总烃</w:t>
      </w:r>
      <w:r>
        <w:rPr>
          <w:rFonts w:hint="default" w:ascii="Times New Roman" w:hAnsi="Times New Roman" w:eastAsia="宋体" w:cs="Times New Roman"/>
          <w:sz w:val="24"/>
          <w:szCs w:val="24"/>
        </w:rPr>
        <w:t>表征。</w:t>
      </w:r>
    </w:p>
    <w:p>
      <w:pPr>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建设单位拟在每条生产线挤出机熔融</w:t>
      </w:r>
      <w:r>
        <w:rPr>
          <w:rFonts w:hint="default" w:ascii="Times New Roman" w:hAnsi="Times New Roman" w:eastAsia="宋体" w:cs="Times New Roman"/>
          <w:color w:val="auto"/>
          <w:sz w:val="24"/>
          <w:szCs w:val="24"/>
          <w:lang w:eastAsia="zh-CN"/>
        </w:rPr>
        <w:t>排气口</w:t>
      </w:r>
      <w:r>
        <w:rPr>
          <w:rFonts w:hint="default" w:ascii="Times New Roman" w:hAnsi="Times New Roman" w:eastAsia="宋体" w:cs="Times New Roman"/>
          <w:color w:val="auto"/>
          <w:sz w:val="24"/>
          <w:szCs w:val="24"/>
        </w:rPr>
        <w:t>、检查口及螺杆挤出口上方各安装1个集气罩（0.</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m×0.</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m，3个），6条生产线合计18个集气罩。有机废气经集气罩收集后经3套</w:t>
      </w:r>
      <w:r>
        <w:rPr>
          <w:rFonts w:hint="eastAsia" w:ascii="Times New Roman" w:hAnsi="Times New Roman" w:eastAsia="宋体" w:cs="Times New Roman"/>
          <w:color w:val="auto"/>
          <w:sz w:val="24"/>
          <w:szCs w:val="24"/>
          <w:lang w:eastAsia="zh-CN"/>
        </w:rPr>
        <w:t>除油装置预处理后再经</w:t>
      </w:r>
      <w:r>
        <w:rPr>
          <w:rFonts w:hint="eastAsia" w:ascii="Times New Roman" w:hAnsi="Times New Roman" w:eastAsia="宋体" w:cs="Times New Roman"/>
          <w:color w:val="auto"/>
          <w:sz w:val="24"/>
          <w:szCs w:val="24"/>
          <w:lang w:val="en-US" w:eastAsia="zh-CN"/>
        </w:rPr>
        <w:t>3套</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 xml:space="preserve">高压静电 </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活性炭吸附</w:t>
      </w:r>
      <w:r>
        <w:rPr>
          <w:rFonts w:hint="default" w:ascii="Times New Roman" w:hAnsi="Times New Roman" w:eastAsia="宋体" w:cs="Times New Roman"/>
          <w:color w:val="auto"/>
          <w:sz w:val="24"/>
          <w:szCs w:val="24"/>
        </w:rPr>
        <w:t>”装置处理，尾气通过1根15m高排气筒排放。经处理后的</w:t>
      </w:r>
      <w:r>
        <w:rPr>
          <w:rFonts w:hint="eastAsia" w:ascii="Times New Roman" w:hAnsi="Times New Roman" w:eastAsia="宋体" w:cs="Times New Roman"/>
          <w:color w:val="auto"/>
          <w:sz w:val="24"/>
          <w:szCs w:val="24"/>
          <w:lang w:eastAsia="zh-CN"/>
        </w:rPr>
        <w:t>非甲烷总烃</w:t>
      </w:r>
      <w:r>
        <w:rPr>
          <w:rFonts w:hint="default" w:ascii="Times New Roman" w:hAnsi="Times New Roman" w:eastAsia="宋体" w:cs="Times New Roman"/>
          <w:color w:val="auto"/>
          <w:sz w:val="24"/>
          <w:szCs w:val="24"/>
        </w:rPr>
        <w:t>排放量为</w:t>
      </w:r>
      <w:r>
        <w:rPr>
          <w:rFonts w:hint="default" w:ascii="Times New Roman" w:hAnsi="Times New Roman" w:eastAsia="宋体" w:cs="Times New Roman"/>
          <w:color w:val="000000" w:themeColor="text1"/>
          <w:sz w:val="24"/>
          <w:szCs w:val="24"/>
          <w14:textFill>
            <w14:solidFill>
              <w14:schemeClr w14:val="tx1"/>
            </w14:solidFill>
          </w14:textFill>
        </w:rPr>
        <w:t>0.252t/a</w:t>
      </w:r>
      <w:r>
        <w:rPr>
          <w:rFonts w:hint="default" w:ascii="Times New Roman" w:hAnsi="Times New Roman" w:eastAsia="宋体" w:cs="Times New Roman"/>
          <w:color w:val="C00000"/>
          <w:sz w:val="24"/>
          <w:szCs w:val="24"/>
        </w:rPr>
        <w:t>，</w:t>
      </w:r>
      <w:r>
        <w:rPr>
          <w:rFonts w:hint="default" w:ascii="Times New Roman" w:hAnsi="Times New Roman" w:eastAsia="宋体" w:cs="Times New Roman"/>
          <w:color w:val="auto"/>
          <w:sz w:val="24"/>
          <w:szCs w:val="24"/>
        </w:rPr>
        <w:t>排放速率为</w:t>
      </w:r>
      <w:r>
        <w:rPr>
          <w:rFonts w:hint="default" w:ascii="Times New Roman" w:hAnsi="Times New Roman" w:eastAsia="宋体" w:cs="Times New Roman"/>
          <w:color w:val="000000" w:themeColor="text1"/>
          <w:sz w:val="24"/>
          <w:szCs w:val="24"/>
          <w14:textFill>
            <w14:solidFill>
              <w14:schemeClr w14:val="tx1"/>
            </w14:solidFill>
          </w14:textFill>
        </w:rPr>
        <w:t>0.07kg/h，</w:t>
      </w:r>
      <w:r>
        <w:rPr>
          <w:rFonts w:hint="default" w:ascii="Times New Roman" w:hAnsi="Times New Roman" w:eastAsia="宋体" w:cs="Times New Roman"/>
          <w:color w:val="auto"/>
          <w:sz w:val="24"/>
          <w:szCs w:val="24"/>
        </w:rPr>
        <w:t>排放浓度为1</w:t>
      </w:r>
      <w:r>
        <w:rPr>
          <w:rFonts w:hint="default" w:ascii="Times New Roman" w:hAnsi="Times New Roman" w:eastAsia="宋体" w:cs="Times New Roman"/>
          <w:color w:val="000000" w:themeColor="text1"/>
          <w:sz w:val="24"/>
          <w:szCs w:val="24"/>
          <w14:textFill>
            <w14:solidFill>
              <w14:schemeClr w14:val="tx1"/>
            </w14:solidFill>
          </w14:textFill>
        </w:rPr>
        <w:t>.94mg/m</w:t>
      </w:r>
      <w:r>
        <w:rPr>
          <w:rFonts w:hint="default" w:ascii="Times New Roman" w:hAnsi="Times New Roman" w:eastAsia="宋体" w:cs="Times New Roman"/>
          <w:color w:val="auto"/>
          <w:sz w:val="24"/>
          <w:szCs w:val="24"/>
        </w:rPr>
        <w:t>³，处理后的</w:t>
      </w:r>
      <w:r>
        <w:rPr>
          <w:rFonts w:hint="eastAsia" w:ascii="Times New Roman" w:hAnsi="Times New Roman" w:eastAsia="宋体" w:cs="Times New Roman"/>
          <w:color w:val="auto"/>
          <w:sz w:val="24"/>
          <w:szCs w:val="24"/>
          <w:lang w:eastAsia="zh-CN"/>
        </w:rPr>
        <w:t>废气排放</w:t>
      </w:r>
      <w:r>
        <w:rPr>
          <w:rFonts w:hint="default" w:ascii="Times New Roman" w:hAnsi="Times New Roman" w:eastAsia="宋体" w:cs="Times New Roman"/>
          <w:color w:val="auto"/>
          <w:sz w:val="24"/>
          <w:szCs w:val="24"/>
        </w:rPr>
        <w:t>满足《合成树脂工业污染物排放标准》（GB 31572-2015）中特别排放限值要求（</w:t>
      </w:r>
      <w:r>
        <w:rPr>
          <w:rFonts w:hint="eastAsia" w:ascii="Times New Roman" w:hAnsi="Times New Roman" w:eastAsia="宋体" w:cs="Times New Roman"/>
          <w:color w:val="auto"/>
          <w:sz w:val="24"/>
          <w:szCs w:val="24"/>
          <w:lang w:eastAsia="zh-CN"/>
        </w:rPr>
        <w:t>非甲烷总烃</w:t>
      </w:r>
      <w:r>
        <w:rPr>
          <w:rFonts w:hint="default" w:ascii="Times New Roman" w:hAnsi="Times New Roman" w:eastAsia="宋体" w:cs="Times New Roman"/>
          <w:color w:val="auto"/>
          <w:sz w:val="24"/>
          <w:szCs w:val="24"/>
        </w:rPr>
        <w:t>：60mg/m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 xml:space="preserve"> </w:t>
      </w:r>
    </w:p>
    <w:p>
      <w:pPr>
        <w:pageBreakBefore w:val="0"/>
        <w:widowControl w:val="0"/>
        <w:kinsoku/>
        <w:wordWrap/>
        <w:overflowPunct/>
        <w:topLinePunct w:val="0"/>
        <w:bidi w:val="0"/>
        <w:adjustRightInd/>
        <w:snapToGrid/>
        <w:spacing w:line="360" w:lineRule="auto"/>
        <w:ind w:firstLine="480" w:firstLineChars="200"/>
        <w:jc w:val="left"/>
        <w:textAlignment w:val="auto"/>
        <w:rPr>
          <w:rFonts w:hint="default" w:ascii="Times New Roman" w:hAnsi="Times New Roman" w:eastAsia="宋体" w:cs="Times New Roman"/>
          <w:bCs/>
          <w:kern w:val="0"/>
          <w:sz w:val="24"/>
          <w:szCs w:val="24"/>
        </w:rPr>
      </w:pPr>
      <w:r>
        <w:rPr>
          <w:rFonts w:hint="default" w:ascii="Times New Roman" w:hAnsi="Times New Roman" w:eastAsia="宋体" w:cs="Times New Roman"/>
          <w:bCs/>
          <w:snapToGrid w:val="0"/>
          <w:sz w:val="24"/>
          <w:szCs w:val="24"/>
        </w:rPr>
        <w:t>经过大气环境影响自查后，本项目</w:t>
      </w:r>
      <w:r>
        <w:rPr>
          <w:rFonts w:hint="eastAsia" w:ascii="Times New Roman" w:hAnsi="Times New Roman" w:eastAsia="宋体" w:cs="Times New Roman"/>
          <w:bCs/>
          <w:snapToGrid w:val="0"/>
          <w:sz w:val="24"/>
          <w:szCs w:val="24"/>
          <w:lang w:eastAsia="zh-CN"/>
        </w:rPr>
        <w:t>所在区域环境质量虽</w:t>
      </w:r>
      <w:r>
        <w:rPr>
          <w:rFonts w:hint="default" w:ascii="Times New Roman" w:hAnsi="Times New Roman" w:eastAsia="宋体" w:cs="Times New Roman"/>
          <w:bCs/>
          <w:snapToGrid w:val="0"/>
          <w:sz w:val="24"/>
          <w:szCs w:val="24"/>
        </w:rPr>
        <w:t>为不达标区域，</w:t>
      </w:r>
      <w:r>
        <w:rPr>
          <w:rFonts w:hint="eastAsia" w:ascii="Times New Roman" w:hAnsi="Times New Roman" w:eastAsia="宋体" w:cs="Times New Roman"/>
          <w:bCs/>
          <w:snapToGrid w:val="0"/>
          <w:sz w:val="24"/>
          <w:szCs w:val="24"/>
          <w:lang w:eastAsia="zh-CN"/>
        </w:rPr>
        <w:t>但</w:t>
      </w:r>
      <w:r>
        <w:rPr>
          <w:rFonts w:hint="default" w:ascii="Times New Roman" w:hAnsi="Times New Roman" w:eastAsia="宋体" w:cs="Times New Roman"/>
          <w:bCs/>
          <w:snapToGrid w:val="0"/>
          <w:sz w:val="24"/>
          <w:szCs w:val="24"/>
        </w:rPr>
        <w:t>新增污染源正常排放下污染物短期浓度贡献值的最大浓度占标率≤100%，大气环境影响可以接受</w:t>
      </w:r>
      <w:r>
        <w:rPr>
          <w:rFonts w:hint="default" w:ascii="Times New Roman" w:hAnsi="Times New Roman" w:eastAsia="宋体" w:cs="Times New Roman"/>
          <w:bCs/>
          <w:kern w:val="0"/>
          <w:sz w:val="24"/>
          <w:szCs w:val="24"/>
        </w:rPr>
        <w:t>。</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故该项目产生的大气污染物在落实报告表中提出的废气防治措施后，对区域大气环境质量影响较小。</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②废水污染物</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sz w:val="24"/>
          <w:szCs w:val="24"/>
        </w:rPr>
        <w:t>项目废水主要为职工办公生活污水、保洁废水。废水经化粪池预处理后通过厂区一体化污水处理设备进行处理，处理达到《城市污水再生利用城市杂用水水质》（GB/T18920-20</w:t>
      </w:r>
      <w:r>
        <w:rPr>
          <w:rFonts w:hint="eastAsia"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）表1中城市绿化杂用水标准浓度限值的要求，用于厂区绿化，不外排。因此，对周边地表水水质影响甚微</w:t>
      </w:r>
      <w:r>
        <w:rPr>
          <w:rFonts w:hint="default" w:ascii="Times New Roman" w:hAnsi="Times New Roman" w:eastAsia="宋体" w:cs="Times New Roman"/>
          <w:bCs/>
          <w:sz w:val="24"/>
          <w:szCs w:val="24"/>
        </w:rPr>
        <w:t>。</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Calibri"/>
          <w:sz w:val="24"/>
          <w:szCs w:val="24"/>
        </w:rPr>
        <w:t>③</w:t>
      </w:r>
      <w:r>
        <w:rPr>
          <w:rFonts w:hint="default" w:ascii="Times New Roman" w:hAnsi="Times New Roman" w:eastAsia="宋体" w:cs="Times New Roman"/>
          <w:sz w:val="24"/>
          <w:szCs w:val="24"/>
        </w:rPr>
        <w:t>噪声</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本项目各噪声设备通过采取隔声、减振、消声等综合控制措施治理后，项目四周厂界噪声能够达到《工业企业厂界环境噪声排放标准》（GB12348-2008）中的2类标准</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color w:val="auto"/>
          <w:sz w:val="24"/>
          <w:szCs w:val="24"/>
        </w:rPr>
        <w:t>建设项目周边敏感点昼夜噪声预测结果均达到《声环境质量标准》（GB3096-2008）</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级标准</w:t>
      </w:r>
      <w:r>
        <w:rPr>
          <w:rFonts w:hint="eastAsia" w:ascii="Times New Roman" w:hAnsi="Times New Roman" w:eastAsia="宋体" w:cs="Times New Roman"/>
          <w:color w:val="auto"/>
          <w:sz w:val="24"/>
          <w:szCs w:val="24"/>
          <w:lang w:eastAsia="zh-CN"/>
        </w:rPr>
        <w:t>。建设项目建成运营后</w:t>
      </w:r>
      <w:r>
        <w:rPr>
          <w:rFonts w:hint="default" w:ascii="Times New Roman" w:hAnsi="Times New Roman" w:eastAsia="宋体" w:cs="Times New Roman"/>
          <w:sz w:val="24"/>
          <w:szCs w:val="24"/>
        </w:rPr>
        <w:t>对周围声环境影响较小。</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④固体废物</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该项目营运期产生的固废主要包括</w:t>
      </w:r>
      <w:r>
        <w:rPr>
          <w:rFonts w:hint="eastAsia" w:ascii="Times New Roman" w:hAnsi="Times New Roman" w:eastAsia="宋体" w:cs="Times New Roman"/>
          <w:kern w:val="0"/>
          <w:sz w:val="24"/>
          <w:szCs w:val="24"/>
          <w:lang w:eastAsia="zh-CN"/>
        </w:rPr>
        <w:t>废过滤网（含滤渣）</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废油脂、废活性炭、</w:t>
      </w:r>
      <w:r>
        <w:rPr>
          <w:rFonts w:hint="default" w:ascii="Times New Roman" w:hAnsi="Times New Roman" w:eastAsia="宋体" w:cs="Times New Roman"/>
          <w:kern w:val="0"/>
          <w:sz w:val="24"/>
          <w:szCs w:val="24"/>
        </w:rPr>
        <w:t>以及生活垃圾等</w:t>
      </w:r>
      <w:r>
        <w:rPr>
          <w:rFonts w:hint="default" w:ascii="Times New Roman" w:hAnsi="Times New Roman" w:eastAsia="宋体" w:cs="Times New Roman"/>
          <w:sz w:val="24"/>
          <w:szCs w:val="24"/>
        </w:rPr>
        <w:t>。</w:t>
      </w:r>
      <w:r>
        <w:rPr>
          <w:rFonts w:hint="default" w:ascii="Times New Roman" w:hAnsi="Times New Roman" w:eastAsia="宋体" w:cs="Times New Roman"/>
          <w:kern w:val="0"/>
          <w:sz w:val="24"/>
          <w:szCs w:val="24"/>
        </w:rPr>
        <w:t>其中生活垃圾委托环卫部门处理。</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kern w:val="0"/>
          <w:sz w:val="24"/>
          <w:szCs w:val="24"/>
          <w:lang w:eastAsia="zh-CN"/>
        </w:rPr>
        <w:t>废过滤网（含滤渣）</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废油脂、废活性炭、等</w:t>
      </w:r>
      <w:r>
        <w:rPr>
          <w:rFonts w:hint="default" w:ascii="Times New Roman" w:hAnsi="Times New Roman" w:eastAsia="宋体" w:cs="Times New Roman"/>
          <w:sz w:val="24"/>
          <w:szCs w:val="24"/>
        </w:rPr>
        <w:t>属于危险废物，厂区危废库安全暂存后定期委托有资质单位处理。</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本项目各项固体废物均得到有效处置，不会对周围环境造成影响。</w:t>
      </w:r>
    </w:p>
    <w:p>
      <w:pPr>
        <w:pStyle w:val="15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sz w:val="24"/>
          <w:szCs w:val="24"/>
        </w:rPr>
      </w:pPr>
      <w:r>
        <w:rPr>
          <w:rFonts w:hint="eastAsia" w:ascii="Times New Roman" w:hAnsi="Times New Roman" w:eastAsia="宋体" w:cs="Times New Roman"/>
          <w:b w:val="0"/>
          <w:bCs/>
          <w:sz w:val="24"/>
          <w:szCs w:val="24"/>
          <w:lang w:eastAsia="zh-CN"/>
        </w:rPr>
        <w:t>（</w:t>
      </w:r>
      <w:r>
        <w:rPr>
          <w:rFonts w:hint="eastAsia" w:ascii="Times New Roman" w:hAnsi="Times New Roman" w:eastAsia="宋体" w:cs="Times New Roman"/>
          <w:b w:val="0"/>
          <w:bCs/>
          <w:sz w:val="24"/>
          <w:szCs w:val="24"/>
          <w:lang w:val="en-US" w:eastAsia="zh-CN"/>
        </w:rPr>
        <w:t>6）</w:t>
      </w:r>
      <w:r>
        <w:rPr>
          <w:rFonts w:hint="default" w:ascii="Times New Roman" w:hAnsi="Times New Roman" w:eastAsia="宋体" w:cs="Times New Roman"/>
          <w:b w:val="0"/>
          <w:bCs/>
          <w:sz w:val="24"/>
          <w:szCs w:val="24"/>
        </w:rPr>
        <w:t xml:space="preserve"> 总量控制分析</w:t>
      </w:r>
    </w:p>
    <w:p>
      <w:pPr>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本项目项目冷却水槽用水循环使用不外排；办公生活污水、保洁废水等经化粪池预处理后通过一体化污水处理设备处理后满足《城市污水再生利用 城市杂用水水质》（GB/T18920-200</w:t>
      </w:r>
      <w:r>
        <w:rPr>
          <w:rFonts w:hint="eastAsia"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）城市绿化杂用水标准浓度限值的要求，用于厂区绿化，不外排。因此本项目实施总量控制的项目为挥发性有机物（</w:t>
      </w:r>
      <w:r>
        <w:rPr>
          <w:rFonts w:hint="default" w:ascii="Times New Roman" w:hAnsi="Times New Roman" w:eastAsia="宋体" w:cs="Times New Roman"/>
          <w:kern w:val="0"/>
          <w:sz w:val="24"/>
          <w:szCs w:val="24"/>
        </w:rPr>
        <w:t>VOCs</w:t>
      </w:r>
      <w:r>
        <w:rPr>
          <w:rFonts w:hint="default" w:ascii="Times New Roman" w:hAnsi="Times New Roman" w:eastAsia="宋体" w:cs="Times New Roman"/>
          <w:sz w:val="24"/>
          <w:szCs w:val="24"/>
        </w:rPr>
        <w:t>）。</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项目实施后VOCs总量控制建议值为：0.5</w:t>
      </w:r>
      <w:r>
        <w:rPr>
          <w:rFonts w:hint="eastAsia"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rPr>
        <w:t>2t/a（</w:t>
      </w:r>
      <w:r>
        <w:rPr>
          <w:rFonts w:hint="eastAsia" w:ascii="Times New Roman" w:hAnsi="Times New Roman" w:eastAsia="宋体" w:cs="Times New Roman"/>
          <w:kern w:val="0"/>
          <w:sz w:val="24"/>
          <w:szCs w:val="24"/>
          <w:lang w:eastAsia="zh-CN"/>
        </w:rPr>
        <w:t>以非甲烷总烃计</w:t>
      </w:r>
      <w:r>
        <w:rPr>
          <w:rFonts w:hint="default" w:ascii="Times New Roman" w:hAnsi="Times New Roman" w:eastAsia="宋体" w:cs="Times New Roman"/>
          <w:kern w:val="0"/>
          <w:sz w:val="24"/>
          <w:szCs w:val="24"/>
        </w:rPr>
        <w:t>）。长丰县环境保护局对其进行备案登记。</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color w:val="000000" w:themeColor="text1"/>
          <w:kern w:val="20"/>
          <w:sz w:val="24"/>
          <w:szCs w:val="24"/>
          <w14:textFill>
            <w14:solidFill>
              <w14:schemeClr w14:val="tx1"/>
            </w14:solidFill>
          </w14:textFill>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7）</w:t>
      </w:r>
      <w:r>
        <w:rPr>
          <w:rFonts w:hint="default" w:ascii="Times New Roman" w:hAnsi="Times New Roman" w:eastAsia="宋体" w:cs="Times New Roman"/>
          <w:snapToGrid w:val="0"/>
          <w:color w:val="000000" w:themeColor="text1"/>
          <w:kern w:val="20"/>
          <w:sz w:val="24"/>
          <w:szCs w:val="24"/>
          <w14:textFill>
            <w14:solidFill>
              <w14:schemeClr w14:val="tx1"/>
            </w14:solidFill>
          </w14:textFill>
        </w:rPr>
        <w:t>公众参与情况</w:t>
      </w:r>
    </w:p>
    <w:p>
      <w:pPr>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建设单位在项目环评报告书编制期间，采取了以下</w:t>
      </w:r>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种</w:t>
      </w:r>
      <w:r>
        <w:rPr>
          <w:rFonts w:hint="default" w:ascii="Times New Roman" w:hAnsi="Times New Roman" w:eastAsia="宋体" w:cs="Times New Roman"/>
          <w:sz w:val="24"/>
          <w:szCs w:val="24"/>
          <w:lang w:val="en-US" w:eastAsia="zh-CN"/>
        </w:rPr>
        <w:t>方式进行了项目公示：</w:t>
      </w:r>
      <w:r>
        <w:rPr>
          <w:rFonts w:hint="default" w:ascii="Times New Roman" w:hAnsi="Times New Roman" w:eastAsia="宋体" w:cs="Times New Roman"/>
          <w:sz w:val="24"/>
          <w:szCs w:val="24"/>
          <w:lang w:eastAsia="zh-CN"/>
        </w:rPr>
        <w:t>在合肥市政府信息公开网站进行了</w:t>
      </w:r>
      <w:r>
        <w:rPr>
          <w:rFonts w:hint="default" w:ascii="Times New Roman" w:hAnsi="Times New Roman" w:eastAsia="宋体" w:cs="Times New Roman"/>
          <w:sz w:val="24"/>
          <w:szCs w:val="24"/>
          <w:lang w:val="en-US" w:eastAsia="zh-CN"/>
        </w:rPr>
        <w:t>2次公示，每次公示不少于10个工作日；</w:t>
      </w:r>
      <w:r>
        <w:rPr>
          <w:rFonts w:hint="default" w:ascii="Times New Roman" w:hAnsi="Times New Roman" w:eastAsia="宋体" w:cs="Times New Roman"/>
          <w:sz w:val="24"/>
          <w:szCs w:val="24"/>
          <w:lang w:eastAsia="zh-CN"/>
        </w:rPr>
        <w:t>并</w:t>
      </w:r>
      <w:r>
        <w:rPr>
          <w:rFonts w:hint="eastAsia" w:ascii="Times New Roman" w:hAnsi="Times New Roman" w:eastAsia="宋体" w:cs="Times New Roman"/>
          <w:sz w:val="24"/>
          <w:szCs w:val="24"/>
          <w:lang w:eastAsia="zh-CN"/>
        </w:rPr>
        <w:t>于</w:t>
      </w:r>
      <w:r>
        <w:rPr>
          <w:rFonts w:hint="default" w:ascii="Times New Roman" w:hAnsi="Times New Roman" w:eastAsia="宋体" w:cs="Times New Roman"/>
          <w:sz w:val="24"/>
          <w:szCs w:val="24"/>
          <w:lang w:val="en-US" w:eastAsia="zh-CN"/>
        </w:rPr>
        <w:t>环评爱好者论坛上进行了全本公示（http://www.eiafans.com/thread-1214758-1-1.html）</w:t>
      </w:r>
      <w:r>
        <w:rPr>
          <w:rFonts w:hint="eastAsia" w:ascii="Times New Roman" w:hAnsi="Times New Roman" w:eastAsia="宋体" w:cs="Times New Roman"/>
          <w:sz w:val="24"/>
          <w:szCs w:val="24"/>
          <w:lang w:val="en-US" w:eastAsia="zh-CN"/>
        </w:rPr>
        <w:t>；且</w:t>
      </w:r>
      <w:r>
        <w:rPr>
          <w:rFonts w:hint="default" w:ascii="Times New Roman" w:hAnsi="Times New Roman" w:eastAsia="宋体" w:cs="Times New Roman"/>
          <w:sz w:val="24"/>
          <w:szCs w:val="24"/>
          <w:lang w:val="en-US" w:eastAsia="zh-CN"/>
        </w:rPr>
        <w:t>在江淮晨报上进行了2次公示；同步在建设项目所在区域周边敏感点张贴了现场公示。</w:t>
      </w:r>
      <w:r>
        <w:rPr>
          <w:rFonts w:hint="default" w:ascii="Times New Roman" w:hAnsi="Times New Roman" w:eastAsia="宋体" w:cs="Times New Roman"/>
          <w:sz w:val="24"/>
          <w:szCs w:val="24"/>
          <w:lang w:eastAsia="zh-CN"/>
        </w:rPr>
        <w:t>公示期间未收到公众反对意见</w:t>
      </w:r>
      <w:r>
        <w:rPr>
          <w:rFonts w:hint="default" w:ascii="Times New Roman" w:hAnsi="Times New Roman" w:eastAsia="宋体" w:cs="Times New Roman"/>
          <w:sz w:val="24"/>
          <w:szCs w:val="24"/>
        </w:rPr>
        <w:t>。</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8）</w:t>
      </w:r>
      <w:r>
        <w:rPr>
          <w:rFonts w:hint="default" w:ascii="Times New Roman" w:hAnsi="Times New Roman" w:eastAsia="宋体" w:cs="Times New Roman"/>
          <w:snapToGrid w:val="0"/>
          <w:kern w:val="20"/>
          <w:sz w:val="24"/>
          <w:szCs w:val="24"/>
        </w:rPr>
        <w:t>环境影响经济损益分析</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结合本项目的环保投入和环境效益进行综合分析得出，本项目在创造良好经济效益和社会效益的同时，经采取污染防治措施后，对环境的影响较小，能够将项目带来的环境损失降到可接受程度。因此，本项目可以实现经济效益与环保效益的相统一。</w:t>
      </w:r>
    </w:p>
    <w:p>
      <w:pPr>
        <w:keepNext/>
        <w:keepLines/>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snapToGrid w:val="0"/>
          <w:kern w:val="20"/>
          <w:sz w:val="24"/>
          <w:szCs w:val="24"/>
        </w:rPr>
      </w:pPr>
      <w:r>
        <w:rPr>
          <w:rFonts w:hint="eastAsia" w:ascii="Times New Roman" w:hAnsi="Times New Roman" w:eastAsia="宋体" w:cs="Times New Roman"/>
          <w:snapToGrid w:val="0"/>
          <w:kern w:val="20"/>
          <w:sz w:val="24"/>
          <w:szCs w:val="24"/>
          <w:lang w:eastAsia="zh-CN"/>
        </w:rPr>
        <w:t>（</w:t>
      </w:r>
      <w:r>
        <w:rPr>
          <w:rFonts w:hint="eastAsia" w:ascii="Times New Roman" w:hAnsi="Times New Roman" w:eastAsia="宋体" w:cs="Times New Roman"/>
          <w:snapToGrid w:val="0"/>
          <w:kern w:val="20"/>
          <w:sz w:val="24"/>
          <w:szCs w:val="24"/>
          <w:lang w:val="en-US" w:eastAsia="zh-CN"/>
        </w:rPr>
        <w:t>9）</w:t>
      </w:r>
      <w:r>
        <w:rPr>
          <w:rFonts w:hint="default" w:ascii="Times New Roman" w:hAnsi="Times New Roman" w:eastAsia="宋体" w:cs="Times New Roman"/>
          <w:snapToGrid w:val="0"/>
          <w:kern w:val="20"/>
          <w:sz w:val="24"/>
          <w:szCs w:val="24"/>
        </w:rPr>
        <w:t>结论</w:t>
      </w:r>
    </w:p>
    <w:p>
      <w:pPr>
        <w:pStyle w:val="6"/>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 w:val="0"/>
          <w:bCs/>
        </w:rPr>
      </w:pPr>
      <w:r>
        <w:rPr>
          <w:rFonts w:hint="default" w:ascii="Times New Roman" w:hAnsi="Times New Roman" w:eastAsia="宋体" w:cs="Times New Roman"/>
          <w:b w:val="0"/>
          <w:bCs/>
          <w:sz w:val="24"/>
          <w:szCs w:val="24"/>
        </w:rPr>
        <w:t>综上所述，合肥皖玻塑业有限公司“年产8000吨再生塑料颗粒生产项目”符合国家的产业政策和相关规划；在落实污染防治措施后，本项目的废气、废水、噪声均可以实现达标排放，均能满足总量控制指标的要求；根据预测结果，项目达标排放的废气、噪声等污染物对周围环境的贡献值不大，不会因此而影响区域现有的环境功能要求；</w:t>
      </w:r>
      <w:r>
        <w:rPr>
          <w:rFonts w:hint="default" w:ascii="Times New Roman" w:hAnsi="Times New Roman" w:eastAsia="宋体" w:cs="Times New Roman"/>
          <w:b w:val="0"/>
          <w:bCs/>
          <w:sz w:val="24"/>
          <w:szCs w:val="24"/>
          <w:lang w:eastAsia="zh-CN"/>
        </w:rPr>
        <w:t>公示期间未收到公众反对意见</w:t>
      </w:r>
      <w:r>
        <w:rPr>
          <w:rFonts w:hint="default" w:ascii="Times New Roman" w:hAnsi="Times New Roman" w:eastAsia="宋体" w:cs="Times New Roman"/>
          <w:b w:val="0"/>
          <w:bCs/>
          <w:sz w:val="24"/>
          <w:szCs w:val="24"/>
        </w:rPr>
        <w:t>。在严格落实本报告提出的各项环保措施的前提下，从环境影响的角度分析，项目建设可行。</w:t>
      </w:r>
    </w:p>
    <w:bookmarkEnd w:id="72"/>
    <w:bookmarkEnd w:id="73"/>
    <w:bookmarkEnd w:id="74"/>
    <w:bookmarkEnd w:id="75"/>
    <w:bookmarkEnd w:id="76"/>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s="Times New Roman"/>
          <w:color w:val="auto"/>
        </w:rPr>
      </w:pPr>
      <w:bookmarkStart w:id="78" w:name="_Toc480298100"/>
      <w:bookmarkStart w:id="79" w:name="_Toc1470"/>
      <w:r>
        <w:rPr>
          <w:rFonts w:ascii="Times New Roman" w:hAnsi="Times New Roman" w:eastAsia="宋体" w:cs="Times New Roman"/>
          <w:color w:val="auto"/>
        </w:rPr>
        <w:t>5.2</w:t>
      </w:r>
      <w:bookmarkEnd w:id="70"/>
      <w:bookmarkEnd w:id="78"/>
      <w:bookmarkStart w:id="80" w:name="_Toc495304772"/>
      <w:r>
        <w:rPr>
          <w:rFonts w:ascii="Times New Roman" w:hAnsi="Times New Roman" w:eastAsia="宋体" w:cs="Times New Roman"/>
          <w:color w:val="auto"/>
        </w:rPr>
        <w:t>环境保护局对环评报告的审批意见</w:t>
      </w:r>
      <w:bookmarkEnd w:id="77"/>
      <w:bookmarkEnd w:id="79"/>
      <w:bookmarkEnd w:id="80"/>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lang w:eastAsia="zh-CN"/>
        </w:rPr>
        <w:t>长丰县环保局</w:t>
      </w:r>
      <w:r>
        <w:rPr>
          <w:rFonts w:ascii="Times New Roman" w:hAnsi="Times New Roman" w:eastAsia="宋体"/>
          <w:color w:val="auto"/>
        </w:rPr>
        <w:t>对本项目</w:t>
      </w:r>
      <w:r>
        <w:rPr>
          <w:rFonts w:hint="eastAsia" w:ascii="Times New Roman" w:hAnsi="Times New Roman" w:eastAsia="宋体"/>
          <w:color w:val="auto"/>
        </w:rPr>
        <w:t>批复的函</w:t>
      </w:r>
      <w:r>
        <w:rPr>
          <w:rFonts w:ascii="Times New Roman" w:hAnsi="Times New Roman" w:eastAsia="宋体"/>
          <w:color w:val="auto"/>
        </w:rPr>
        <w:t>摘录如下：</w:t>
      </w:r>
    </w:p>
    <w:p>
      <w:pPr>
        <w:pStyle w:val="104"/>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zh-CN"/>
        </w:rPr>
        <w:t>该项目位于庄墓镇合淮路东侧，系租赁合肥安玻节能玻璃科技有限公司</w:t>
      </w:r>
      <w:r>
        <w:rPr>
          <w:rFonts w:hint="eastAsia" w:ascii="Times New Roman" w:hAnsi="Times New Roman" w:eastAsia="宋体"/>
          <w:color w:val="auto"/>
          <w:kern w:val="0"/>
          <w:lang w:val="en-US" w:eastAsia="zh-CN"/>
        </w:rPr>
        <w:t>2#厂房进行生产，建筑面积5912平方米，建成投产后，可年产8000吨再生塑料颗粒。项目总投资2000万元，其中环保投资70万元。</w:t>
      </w:r>
    </w:p>
    <w:p>
      <w:pPr>
        <w:pStyle w:val="104"/>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该项目已经长丰县发展和改革委员会备案（项目编码：2019-340121-29-03-002265），符合国家产业政策。在认真落实环评文件提出的各项污染措施、污染物达标排放的前提下，我局同意该项目按照安徽显闰环境工程有限公司编制的环评文件所列地点、内容、生产工艺、产品方案及环境保护对策措施进行建设。未经批准，不得擅自扩大生产规模和改变产品方案。</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为保障拟建项目周边环境，项目单位在运营过程中必须做到：</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营运期项目排水实行雨污分流。</w:t>
      </w:r>
      <w:r>
        <w:rPr>
          <w:rFonts w:hint="eastAsia" w:ascii="Times New Roman" w:hAnsi="Times New Roman" w:eastAsia="宋体"/>
          <w:color w:val="000000" w:themeColor="text1"/>
          <w:kern w:val="0"/>
          <w:lang w:val="en-US" w:eastAsia="zh-CN"/>
          <w14:textFill>
            <w14:solidFill>
              <w14:schemeClr w14:val="tx1"/>
            </w14:solidFill>
          </w14:textFill>
        </w:rPr>
        <w:t>项目无生产废水排放，</w:t>
      </w:r>
      <w:r>
        <w:rPr>
          <w:rFonts w:hint="eastAsia" w:ascii="Times New Roman" w:hAnsi="Times New Roman" w:eastAsia="宋体"/>
          <w:color w:val="auto"/>
          <w:kern w:val="0"/>
          <w:lang w:val="en-US" w:eastAsia="zh-CN"/>
        </w:rPr>
        <w:t>生活污水和保洁废水经厂区自建的一体化污水处理设施处理达标后，用于厂区绿化，不外排。</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项目产生的废气主要为废旧塑料熔融挤出过程产生的有机废气。生产区密闭，挤出废气经集气罩收集后，经除油装置预处理，再经</w:t>
      </w:r>
      <w:r>
        <w:rPr>
          <w:rFonts w:hint="eastAsia"/>
          <w:color w:val="auto"/>
          <w:kern w:val="0"/>
          <w:lang w:val="en-US" w:eastAsia="zh-CN"/>
        </w:rPr>
        <w:t>高压静电</w:t>
      </w:r>
      <w:r>
        <w:rPr>
          <w:rFonts w:hint="eastAsia" w:ascii="Times New Roman" w:hAnsi="Times New Roman" w:eastAsia="宋体"/>
          <w:color w:val="auto"/>
          <w:kern w:val="0"/>
          <w:lang w:val="en-US" w:eastAsia="zh-CN"/>
        </w:rPr>
        <w:t>+活性炭吸附”装置处理后，尾气通过不低于15m高排气筒排放；有机废气排放执行《合成树脂工业污染物排放标准》（GB31572-2015）表5特别排放限值及表9中厂界大气污染物浓度限值。规范废气排放口设置并做好采样平台（口）建设。</w:t>
      </w:r>
    </w:p>
    <w:p>
      <w:pPr>
        <w:pStyle w:val="10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项目设置的环境防护距离为50米，建设单位应及时告知当地政府或主管部门，在此范围内不得建设住宅、医院及学校等环境敏感设施。</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项目噪声主要是设备运转产生的机械噪声，采用隔音、合理布局等措施后，确保噪声排放达到《工业企业厂界环境噪声排放标准）（GB12348-2008）中2类标准要求。</w:t>
      </w:r>
    </w:p>
    <w:p>
      <w:pPr>
        <w:pStyle w:val="104"/>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加强固体废弃物的环境管理。生活垃圾由环卫部门统一清运处理；过滤网（含滤渣）、废活性炭、等危险固废，规范收集、存储后，委托有资质单位处置。</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有关本项目其他污染防治措施和环境管理要求，按照环评文件相关内容认真落实。</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lang w:val="en-US" w:eastAsia="zh-CN"/>
        </w:rPr>
        <w:t>加强污染治理措施设施运行管理，安装在线视频监控及挥发性有机污染物（VOC</w:t>
      </w:r>
      <w:r>
        <w:rPr>
          <w:rFonts w:hint="eastAsia" w:ascii="Times New Roman" w:hAnsi="Times New Roman" w:eastAsia="宋体"/>
          <w:color w:val="auto"/>
          <w:kern w:val="0"/>
          <w:vertAlign w:val="subscript"/>
          <w:lang w:val="en-US" w:eastAsia="zh-CN"/>
        </w:rPr>
        <w:t>S</w:t>
      </w:r>
      <w:r>
        <w:rPr>
          <w:rFonts w:hint="eastAsia" w:ascii="Times New Roman" w:hAnsi="Times New Roman" w:eastAsia="宋体"/>
          <w:color w:val="auto"/>
          <w:kern w:val="0"/>
          <w:vertAlign w:val="baseline"/>
          <w:lang w:val="en-US" w:eastAsia="zh-CN"/>
        </w:rPr>
        <w:t>）污染源在线监测设备，实时记录污染设施运转状况及污染物排放情况。</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pPr>
      <w:r>
        <w:rPr>
          <w:rFonts w:hint="eastAsia" w:ascii="Times New Roman" w:hAnsi="Times New Roman" w:eastAsia="宋体"/>
          <w:color w:val="auto"/>
          <w:kern w:val="0"/>
          <w:vertAlign w:val="baseline"/>
          <w:lang w:val="en-US" w:eastAsia="zh-CN"/>
        </w:rPr>
        <w:t>该项目须严格执行环保“三同时”制度，项目建成后应按照《建设项目环境保护管理条例》、《建设项目竣工环境保护验收暂行办法》等相关要求，开展建设项目竣工环境保护验收工作，验收合格后方可正式投入使用，庄墓镇环保办、县监察大队负责该项目的环境监管工作。</w:t>
      </w:r>
    </w:p>
    <w:p>
      <w:pPr>
        <w:pStyle w:val="104"/>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auto"/>
          <w:kern w:val="0"/>
          <w:lang w:val="en-US" w:eastAsia="zh-CN"/>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color w:val="auto"/>
          <w:kern w:val="0"/>
          <w:vertAlign w:val="baseline"/>
          <w:lang w:val="en-US" w:eastAsia="zh-CN"/>
        </w:rPr>
        <w:t>本审批意见自下达之日起方可开工建设，超过法律规定年限建设的，该项目环境影响评价文件应当报原审批部门重新审核。项目的性质、规模、地点、污染防治措施发生重大变动的，必须重新报批环境影响评价文件。</w:t>
      </w:r>
    </w:p>
    <w:bookmarkEnd w:id="71"/>
    <w:p>
      <w:pPr>
        <w:pStyle w:val="3"/>
        <w:spacing w:before="156" w:after="156"/>
        <w:jc w:val="center"/>
        <w:rPr>
          <w:rFonts w:ascii="Times New Roman" w:hAnsi="Times New Roman" w:eastAsia="宋体"/>
          <w:color w:val="auto"/>
        </w:rPr>
      </w:pPr>
      <w:bookmarkStart w:id="81" w:name="_Toc507454877"/>
      <w:bookmarkStart w:id="82" w:name="_Toc6126"/>
      <w:r>
        <w:rPr>
          <w:rFonts w:hint="eastAsia" w:ascii="Times New Roman" w:hAnsi="Times New Roman" w:eastAsia="宋体"/>
          <w:color w:val="auto"/>
        </w:rPr>
        <w:t>六、验收执行标准</w:t>
      </w:r>
      <w:bookmarkEnd w:id="81"/>
      <w:bookmarkEnd w:id="82"/>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eastAsia="宋体"/>
          <w:color w:val="auto"/>
        </w:rPr>
      </w:pPr>
      <w:bookmarkStart w:id="83" w:name="_Toc507454879"/>
      <w:bookmarkStart w:id="84" w:name="_Toc495589882"/>
      <w:r>
        <w:rPr>
          <w:rFonts w:hint="eastAsia" w:ascii="Times New Roman" w:hAnsi="Times New Roman" w:eastAsia="宋体"/>
          <w:color w:val="auto"/>
          <w:szCs w:val="24"/>
        </w:rPr>
        <w:t>根据</w:t>
      </w:r>
      <w:r>
        <w:rPr>
          <w:rFonts w:hint="eastAsia" w:ascii="Times New Roman" w:hAnsi="Times New Roman" w:eastAsia="宋体"/>
          <w:color w:val="auto"/>
          <w:szCs w:val="24"/>
          <w:lang w:eastAsia="zh-CN"/>
        </w:rPr>
        <w:t>长丰县环保局</w:t>
      </w:r>
      <w:r>
        <w:rPr>
          <w:rFonts w:hint="eastAsia" w:ascii="Times New Roman" w:hAnsi="Times New Roman" w:eastAsia="宋体"/>
          <w:color w:val="auto"/>
          <w:szCs w:val="24"/>
        </w:rPr>
        <w:t>“</w:t>
      </w:r>
      <w:r>
        <w:rPr>
          <w:rFonts w:hint="eastAsia" w:ascii="Times New Roman" w:hAnsi="Times New Roman" w:eastAsia="宋体"/>
          <w:color w:val="auto"/>
          <w:szCs w:val="24"/>
          <w:lang w:eastAsia="zh-CN"/>
        </w:rPr>
        <w:t>长环建</w:t>
      </w:r>
      <w:r>
        <w:rPr>
          <w:rFonts w:hint="eastAsia" w:ascii="Times New Roman" w:hAnsi="Times New Roman" w:eastAsia="宋体"/>
          <w:color w:val="auto"/>
          <w:szCs w:val="24"/>
        </w:rPr>
        <w:t>[20</w:t>
      </w:r>
      <w:r>
        <w:rPr>
          <w:rFonts w:hint="eastAsia" w:ascii="Times New Roman" w:hAnsi="Times New Roman" w:eastAsia="宋体"/>
          <w:color w:val="auto"/>
          <w:szCs w:val="24"/>
          <w:lang w:val="en-US" w:eastAsia="zh-CN"/>
        </w:rPr>
        <w:t>19</w:t>
      </w:r>
      <w:r>
        <w:rPr>
          <w:rFonts w:hint="eastAsia" w:ascii="Times New Roman" w:hAnsi="Times New Roman" w:eastAsia="宋体"/>
          <w:color w:val="auto"/>
          <w:szCs w:val="24"/>
        </w:rPr>
        <w:t>]</w:t>
      </w:r>
      <w:r>
        <w:rPr>
          <w:rFonts w:hint="eastAsia" w:ascii="Times New Roman" w:hAnsi="Times New Roman" w:eastAsia="宋体"/>
          <w:color w:val="auto"/>
          <w:szCs w:val="24"/>
          <w:lang w:val="en-US" w:eastAsia="zh-CN"/>
        </w:rPr>
        <w:t>95</w:t>
      </w:r>
      <w:r>
        <w:rPr>
          <w:rFonts w:hint="eastAsia" w:ascii="Times New Roman" w:hAnsi="Times New Roman" w:eastAsia="宋体"/>
          <w:color w:val="auto"/>
          <w:szCs w:val="24"/>
        </w:rPr>
        <w:t>号”文《</w:t>
      </w:r>
      <w:r>
        <w:rPr>
          <w:rFonts w:ascii="Times New Roman" w:hAnsi="Times New Roman" w:eastAsia="宋体"/>
          <w:color w:val="auto"/>
          <w:szCs w:val="24"/>
        </w:rPr>
        <w:t>关于</w:t>
      </w:r>
      <w:r>
        <w:rPr>
          <w:rFonts w:hint="eastAsia" w:ascii="Times New Roman" w:hAnsi="Times New Roman" w:eastAsia="宋体"/>
          <w:color w:val="auto"/>
          <w:lang w:eastAsia="zh-CN"/>
        </w:rPr>
        <w:t>年产8000吨再生塑料颗粒生产项目</w:t>
      </w:r>
      <w:r>
        <w:rPr>
          <w:rFonts w:hint="eastAsia" w:ascii="Times New Roman" w:hAnsi="Times New Roman" w:eastAsia="宋体"/>
          <w:color w:val="auto"/>
        </w:rPr>
        <w:t>环境影响报告书</w:t>
      </w:r>
      <w:r>
        <w:rPr>
          <w:rFonts w:hint="eastAsia" w:ascii="Times New Roman" w:hAnsi="Times New Roman" w:eastAsia="宋体"/>
          <w:color w:val="auto"/>
          <w:lang w:eastAsia="zh-CN"/>
        </w:rPr>
        <w:t>的批复</w:t>
      </w:r>
      <w:r>
        <w:rPr>
          <w:rFonts w:hint="eastAsia" w:ascii="Times New Roman" w:hAnsi="Times New Roman" w:eastAsia="宋体"/>
          <w:color w:val="auto"/>
          <w:szCs w:val="24"/>
        </w:rPr>
        <w:t>》（详见</w:t>
      </w:r>
      <w:r>
        <w:rPr>
          <w:rFonts w:ascii="Times New Roman" w:hAnsi="Times New Roman" w:eastAsia="宋体"/>
          <w:color w:val="auto"/>
          <w:szCs w:val="24"/>
        </w:rPr>
        <w:t>附</w:t>
      </w:r>
      <w:r>
        <w:rPr>
          <w:rFonts w:ascii="Times New Roman" w:hAnsi="Times New Roman" w:eastAsia="宋体"/>
          <w:color w:val="auto"/>
          <w:szCs w:val="24"/>
          <w:highlight w:val="none"/>
        </w:rPr>
        <w:t>件</w:t>
      </w:r>
      <w:r>
        <w:rPr>
          <w:rFonts w:hint="eastAsia" w:ascii="Times New Roman" w:hAnsi="Times New Roman" w:eastAsia="宋体"/>
          <w:color w:val="auto"/>
          <w:szCs w:val="24"/>
          <w:highlight w:val="none"/>
          <w:lang w:val="en-US" w:eastAsia="zh-CN"/>
        </w:rPr>
        <w:t>3</w:t>
      </w:r>
      <w:r>
        <w:rPr>
          <w:rFonts w:hint="eastAsia" w:ascii="Times New Roman" w:hAnsi="Times New Roman" w:eastAsia="宋体"/>
          <w:color w:val="auto"/>
          <w:szCs w:val="24"/>
          <w:highlight w:val="none"/>
        </w:rPr>
        <w:t>）</w:t>
      </w:r>
      <w:r>
        <w:rPr>
          <w:rFonts w:hint="eastAsia" w:ascii="Times New Roman" w:hAnsi="Times New Roman" w:eastAsia="宋体"/>
          <w:color w:val="auto"/>
          <w:szCs w:val="24"/>
        </w:rPr>
        <w:t>，确认本项目污染物排放执行标准如下</w:t>
      </w:r>
      <w:r>
        <w:rPr>
          <w:rFonts w:ascii="Times New Roman" w:hAnsi="Times New Roman" w:eastAsia="宋体"/>
          <w:color w:val="auto"/>
        </w:rPr>
        <w:t>：</w:t>
      </w:r>
    </w:p>
    <w:p>
      <w:pPr>
        <w:pStyle w:val="4"/>
        <w:pageBreakBefore w:val="0"/>
        <w:widowControl w:val="0"/>
        <w:kinsoku/>
        <w:wordWrap/>
        <w:overflowPunct/>
        <w:topLinePunct w:val="0"/>
        <w:bidi w:val="0"/>
        <w:adjustRightInd/>
        <w:snapToGrid/>
        <w:spacing w:before="0" w:after="0" w:line="360" w:lineRule="auto"/>
        <w:ind w:left="0" w:leftChars="0" w:right="0" w:rightChars="0"/>
        <w:textAlignment w:val="auto"/>
        <w:rPr>
          <w:rFonts w:hint="eastAsia" w:ascii="Times New Roman" w:hAnsi="Times New Roman" w:eastAsia="宋体"/>
          <w:color w:val="auto"/>
          <w:lang w:eastAsia="zh-CN"/>
        </w:rPr>
      </w:pPr>
      <w:bookmarkStart w:id="85" w:name="_Toc8166"/>
      <w:r>
        <w:rPr>
          <w:rFonts w:hint="eastAsia" w:ascii="Times New Roman" w:hAnsi="Times New Roman" w:eastAsia="宋体"/>
          <w:color w:val="auto"/>
        </w:rPr>
        <w:t>6.1</w:t>
      </w:r>
      <w:r>
        <w:rPr>
          <w:rFonts w:hint="eastAsia" w:ascii="Times New Roman" w:hAnsi="Times New Roman" w:eastAsia="宋体"/>
          <w:color w:val="auto"/>
          <w:lang w:eastAsia="zh-CN"/>
        </w:rPr>
        <w:t>废气排放标准</w:t>
      </w:r>
      <w:bookmarkEnd w:id="85"/>
    </w:p>
    <w:p>
      <w:pPr>
        <w:pStyle w:val="104"/>
        <w:pageBreakBefore w:val="0"/>
        <w:widowControl w:val="0"/>
        <w:kinsoku/>
        <w:wordWrap/>
        <w:overflowPunct/>
        <w:topLinePunct w:val="0"/>
        <w:bidi w:val="0"/>
        <w:adjustRightInd/>
        <w:snapToGrid/>
        <w:spacing w:line="360" w:lineRule="auto"/>
        <w:ind w:left="0" w:leftChars="0" w:right="0" w:rightChars="0" w:firstLine="480"/>
        <w:textAlignment w:val="auto"/>
        <w:rPr>
          <w:rFonts w:ascii="Times New Roman" w:hAnsi="Times New Roman" w:eastAsia="宋体"/>
          <w:color w:val="auto"/>
          <w:szCs w:val="24"/>
        </w:rPr>
      </w:pPr>
      <w:r>
        <w:rPr>
          <w:rFonts w:hint="default" w:ascii="Times New Roman" w:hAnsi="Times New Roman" w:eastAsia="宋体" w:cs="Times New Roman"/>
          <w:kern w:val="0"/>
          <w:sz w:val="24"/>
        </w:rPr>
        <w:t>项目熔融挤出过程排放废气执行《合成树脂工业污染物排放标准》（GB31572-2015）表5中“大气污染物特别排放限值及表9企业边界大气污染物浓度限值</w:t>
      </w:r>
      <w:r>
        <w:rPr>
          <w:rFonts w:hint="eastAsia" w:ascii="Times New Roman" w:hAnsi="Times New Roman" w:eastAsia="宋体" w:cs="Times New Roman"/>
          <w:kern w:val="0"/>
          <w:sz w:val="24"/>
          <w:lang w:eastAsia="zh-CN"/>
        </w:rPr>
        <w:t>；厂区内VOC</w:t>
      </w:r>
      <w:r>
        <w:rPr>
          <w:rFonts w:hint="eastAsia" w:ascii="Times New Roman" w:hAnsi="Times New Roman" w:eastAsia="宋体" w:cs="Times New Roman"/>
          <w:kern w:val="0"/>
          <w:sz w:val="24"/>
          <w:vertAlign w:val="subscript"/>
          <w:lang w:eastAsia="zh-CN"/>
        </w:rPr>
        <w:t>S</w:t>
      </w:r>
      <w:r>
        <w:rPr>
          <w:rFonts w:hint="eastAsia" w:ascii="Times New Roman" w:hAnsi="Times New Roman" w:eastAsia="宋体" w:cs="Times New Roman"/>
          <w:kern w:val="0"/>
          <w:sz w:val="24"/>
          <w:lang w:eastAsia="zh-CN"/>
        </w:rPr>
        <w:t>无组织排放监控点浓度执行《挥发性有机物无组织排放控制标准》（GB37822-2019）中表A.1规定的限值要求。</w:t>
      </w:r>
      <w:r>
        <w:rPr>
          <w:rFonts w:hint="eastAsia" w:ascii="Times New Roman" w:hAnsi="Times New Roman" w:eastAsia="宋体"/>
          <w:color w:val="auto"/>
          <w:szCs w:val="20"/>
        </w:rPr>
        <w:t>具体执行情况详见详见</w:t>
      </w:r>
      <w:r>
        <w:rPr>
          <w:rFonts w:ascii="Times New Roman" w:hAnsi="Times New Roman" w:eastAsia="宋体"/>
          <w:color w:val="auto"/>
          <w:szCs w:val="24"/>
        </w:rPr>
        <w:t>表6.</w:t>
      </w:r>
      <w:r>
        <w:rPr>
          <w:rFonts w:hint="eastAsia" w:ascii="Times New Roman" w:hAnsi="Times New Roman" w:eastAsia="宋体"/>
          <w:color w:val="auto"/>
          <w:szCs w:val="24"/>
          <w:lang w:val="en-US" w:eastAsia="zh-CN"/>
        </w:rPr>
        <w:t>1</w:t>
      </w:r>
      <w:r>
        <w:rPr>
          <w:rFonts w:ascii="Times New Roman" w:hAnsi="Times New Roman" w:eastAsia="宋体"/>
          <w:color w:val="auto"/>
          <w:szCs w:val="24"/>
        </w:rPr>
        <w:t>-1</w:t>
      </w:r>
      <w:r>
        <w:rPr>
          <w:rFonts w:hint="eastAsia" w:ascii="Times New Roman" w:hAnsi="Times New Roman" w:eastAsia="宋体"/>
          <w:color w:val="auto"/>
          <w:szCs w:val="24"/>
          <w:lang w:eastAsia="zh-CN"/>
        </w:rPr>
        <w:t>、表</w:t>
      </w:r>
      <w:r>
        <w:rPr>
          <w:rFonts w:hint="eastAsia" w:ascii="Times New Roman" w:hAnsi="Times New Roman" w:eastAsia="宋体"/>
          <w:color w:val="auto"/>
          <w:szCs w:val="24"/>
          <w:lang w:val="en-US" w:eastAsia="zh-CN"/>
        </w:rPr>
        <w:t>6.1-2</w:t>
      </w:r>
      <w:r>
        <w:rPr>
          <w:rFonts w:ascii="Times New Roman" w:hAnsi="Times New Roman" w:eastAsia="宋体"/>
          <w:color w:val="auto"/>
          <w:szCs w:val="24"/>
        </w:rPr>
        <w:t>：</w:t>
      </w:r>
    </w:p>
    <w:p>
      <w:pPr>
        <w:pStyle w:val="22"/>
        <w:spacing w:line="24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b/>
          <w:color w:val="auto"/>
          <w:szCs w:val="21"/>
        </w:rPr>
        <w:t>表</w:t>
      </w:r>
      <w:r>
        <w:rPr>
          <w:rFonts w:hint="eastAsia" w:ascii="Times New Roman" w:hAnsi="Times New Roman" w:eastAsia="宋体" w:cs="Times New Roman"/>
          <w:b/>
          <w:color w:val="auto"/>
          <w:szCs w:val="21"/>
          <w:lang w:val="en-US" w:eastAsia="zh-CN"/>
        </w:rPr>
        <w:t xml:space="preserve">6.1-1 </w:t>
      </w:r>
      <w:r>
        <w:rPr>
          <w:rFonts w:hint="default" w:ascii="Times New Roman" w:hAnsi="Times New Roman" w:eastAsia="宋体" w:cs="Times New Roman"/>
          <w:b/>
          <w:color w:val="auto"/>
          <w:szCs w:val="21"/>
        </w:rPr>
        <w:t xml:space="preserve"> 合成树脂工业污染物排放标准 单位：mg/m</w:t>
      </w:r>
      <w:r>
        <w:rPr>
          <w:rFonts w:hint="default" w:ascii="Times New Roman" w:hAnsi="Times New Roman" w:eastAsia="宋体" w:cs="Times New Roman"/>
          <w:b/>
          <w:color w:val="auto"/>
          <w:szCs w:val="21"/>
          <w:vertAlign w:val="superscript"/>
        </w:rPr>
        <w:t>3</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601"/>
        <w:gridCol w:w="1520"/>
        <w:gridCol w:w="2727"/>
        <w:gridCol w:w="26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序号</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污染物</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排放限值</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适用合成树脂类型</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Cs w:val="21"/>
              </w:rPr>
            </w:pPr>
            <w:r>
              <w:rPr>
                <w:rFonts w:hint="default" w:ascii="Times New Roman" w:hAnsi="Times New Roman" w:eastAsia="宋体" w:cs="Times New Roman"/>
                <w:b/>
                <w:bCs/>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60</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所有合成树脂</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b/>
                <w:bCs/>
                <w:szCs w:val="21"/>
              </w:rPr>
              <w:t>企业边界任何 1 小时大气污染物平均浓度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8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非甲烷总烃</w:t>
            </w:r>
          </w:p>
        </w:tc>
        <w:tc>
          <w:tcPr>
            <w:tcW w:w="8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4.0</w:t>
            </w:r>
          </w:p>
        </w:tc>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outlineLvl w:val="9"/>
        <w:rPr>
          <w:rFonts w:hint="default" w:ascii="Times New Roman" w:hAnsi="Times New Roman" w:eastAsia="宋体"/>
          <w:b/>
          <w:bCs/>
          <w:caps w:val="0"/>
          <w:color w:val="auto"/>
          <w:sz w:val="21"/>
          <w:vertAlign w:val="superscript"/>
          <w:lang w:val="en-US" w:eastAsia="zh-CN"/>
        </w:rPr>
      </w:pPr>
      <w:r>
        <w:rPr>
          <w:rFonts w:hint="eastAsia" w:ascii="Times New Roman" w:hAnsi="Times New Roman" w:eastAsia="宋体"/>
          <w:b/>
          <w:bCs/>
          <w:caps w:val="0"/>
          <w:color w:val="auto"/>
          <w:sz w:val="21"/>
          <w:lang w:val="en-US" w:eastAsia="zh-CN"/>
        </w:rPr>
        <w:t>表6.1-2  厂区内VOC</w:t>
      </w:r>
      <w:r>
        <w:rPr>
          <w:rFonts w:hint="eastAsia" w:ascii="Times New Roman" w:hAnsi="Times New Roman" w:eastAsia="宋体"/>
          <w:b/>
          <w:bCs/>
          <w:caps w:val="0"/>
          <w:color w:val="auto"/>
          <w:sz w:val="21"/>
          <w:vertAlign w:val="subscript"/>
          <w:lang w:val="en-US" w:eastAsia="zh-CN"/>
        </w:rPr>
        <w:t>S</w:t>
      </w:r>
      <w:r>
        <w:rPr>
          <w:rFonts w:hint="eastAsia" w:ascii="Times New Roman" w:hAnsi="Times New Roman" w:eastAsia="宋体"/>
          <w:b/>
          <w:bCs/>
          <w:caps w:val="0"/>
          <w:color w:val="auto"/>
          <w:sz w:val="21"/>
          <w:vertAlign w:val="baseline"/>
          <w:lang w:val="en-US" w:eastAsia="zh-CN"/>
        </w:rPr>
        <w:t>无组织排放限值  单位：mg/m</w:t>
      </w:r>
      <w:r>
        <w:rPr>
          <w:rFonts w:hint="eastAsia" w:ascii="Times New Roman" w:hAnsi="Times New Roman" w:eastAsia="宋体"/>
          <w:b/>
          <w:bCs/>
          <w:caps w:val="0"/>
          <w:color w:val="auto"/>
          <w:sz w:val="21"/>
          <w:vertAlign w:val="superscript"/>
          <w:lang w:val="en-US" w:eastAsia="zh-CN"/>
        </w:rPr>
        <w:t>3</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68"/>
        <w:gridCol w:w="1417"/>
        <w:gridCol w:w="1650"/>
        <w:gridCol w:w="2878"/>
        <w:gridCol w:w="18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污染物项目</w:t>
            </w: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排放限值</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特别排放限值</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限值含义</w:t>
            </w:r>
          </w:p>
        </w:tc>
        <w:tc>
          <w:tcPr>
            <w:tcW w:w="1002"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caps w:val="0"/>
                <w:color w:val="auto"/>
                <w:sz w:val="21"/>
                <w:vertAlign w:val="baseline"/>
                <w:lang w:val="en-US" w:eastAsia="zh-CN"/>
              </w:rPr>
            </w:pPr>
            <w:r>
              <w:rPr>
                <w:rFonts w:hint="eastAsia" w:ascii="Times New Roman" w:hAnsi="Times New Roman" w:eastAsia="宋体"/>
                <w:b/>
                <w:bCs/>
                <w:caps w:val="0"/>
                <w:color w:val="auto"/>
                <w:sz w:val="21"/>
                <w:vertAlign w:val="baseline"/>
                <w:lang w:val="en-US" w:eastAsia="zh-CN"/>
              </w:rPr>
              <w:t>无组织排放监控位置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NMHC</w:t>
            </w: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10</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6</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监控点处1h平均浓度值</w:t>
            </w:r>
          </w:p>
        </w:tc>
        <w:tc>
          <w:tcPr>
            <w:tcW w:w="1002" w:type="pct"/>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在厂房外设置监控点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4" w:type="pct"/>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p>
        </w:tc>
        <w:tc>
          <w:tcPr>
            <w:tcW w:w="75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30</w:t>
            </w:r>
          </w:p>
        </w:tc>
        <w:tc>
          <w:tcPr>
            <w:tcW w:w="878"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20</w:t>
            </w:r>
          </w:p>
        </w:tc>
        <w:tc>
          <w:tcPr>
            <w:tcW w:w="1531"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r>
              <w:rPr>
                <w:rFonts w:hint="eastAsia" w:ascii="Times New Roman" w:hAnsi="Times New Roman" w:eastAsia="宋体"/>
                <w:caps w:val="0"/>
                <w:color w:val="auto"/>
                <w:sz w:val="21"/>
                <w:vertAlign w:val="baseline"/>
                <w:lang w:val="en-US" w:eastAsia="zh-CN"/>
              </w:rPr>
              <w:t>监控点处任意一次浓度值</w:t>
            </w:r>
          </w:p>
        </w:tc>
        <w:tc>
          <w:tcPr>
            <w:tcW w:w="1002" w:type="pct"/>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aps w:val="0"/>
                <w:color w:val="auto"/>
                <w:sz w:val="21"/>
                <w:vertAlign w:val="baseline"/>
                <w:lang w:val="en-US" w:eastAsia="zh-CN"/>
              </w:rPr>
            </w:pPr>
          </w:p>
        </w:tc>
      </w:tr>
      <w:bookmarkEnd w:id="83"/>
      <w:bookmarkEnd w:id="84"/>
    </w:tbl>
    <w:p>
      <w:pPr>
        <w:pStyle w:val="4"/>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eastAsia="宋体"/>
          <w:color w:val="auto"/>
          <w:highlight w:val="none"/>
        </w:rPr>
      </w:pPr>
      <w:bookmarkStart w:id="86" w:name="_Toc9743"/>
      <w:bookmarkStart w:id="87" w:name="_Toc507454880"/>
      <w:bookmarkStart w:id="88" w:name="_Toc495589883"/>
      <w:r>
        <w:rPr>
          <w:rFonts w:hint="eastAsia" w:ascii="Times New Roman" w:hAnsi="Times New Roman" w:eastAsia="宋体"/>
          <w:color w:val="auto"/>
          <w:highlight w:val="none"/>
          <w:lang w:val="en-US" w:eastAsia="zh-CN"/>
        </w:rPr>
        <w:t>6.2污水</w:t>
      </w:r>
      <w:r>
        <w:rPr>
          <w:rFonts w:hint="eastAsia" w:ascii="Times New Roman" w:hAnsi="Times New Roman" w:eastAsia="宋体"/>
          <w:b/>
          <w:bCs/>
          <w:color w:val="auto"/>
          <w:highlight w:val="none"/>
        </w:rPr>
        <w:t>排放标准</w:t>
      </w:r>
      <w:bookmarkEnd w:id="86"/>
    </w:p>
    <w:p>
      <w:pPr>
        <w:bidi w:val="0"/>
        <w:jc w:val="left"/>
        <w:rPr>
          <w:rFonts w:hint="eastAsia" w:ascii="Times New Roman" w:hAnsi="Times New Roman" w:eastAsia="宋体"/>
          <w:b w:val="0"/>
          <w:bCs w:val="0"/>
          <w:color w:val="auto"/>
          <w:szCs w:val="20"/>
          <w:lang w:val="en-US" w:eastAsia="zh-CN"/>
        </w:rPr>
      </w:pPr>
      <w:r>
        <w:rPr>
          <w:rFonts w:hint="eastAsia" w:ascii="Times New Roman" w:hAnsi="Times New Roman" w:eastAsia="宋体"/>
          <w:b/>
          <w:bCs/>
          <w:color w:val="auto"/>
          <w:sz w:val="24"/>
          <w:szCs w:val="24"/>
        </w:rPr>
        <w:t>6.</w:t>
      </w:r>
      <w:r>
        <w:rPr>
          <w:rFonts w:hint="eastAsia" w:ascii="Times New Roman" w:hAnsi="Times New Roman"/>
          <w:b/>
          <w:bCs/>
          <w:color w:val="auto"/>
          <w:sz w:val="24"/>
          <w:szCs w:val="24"/>
          <w:lang w:val="en-US" w:eastAsia="zh-CN"/>
        </w:rPr>
        <w:t>2</w:t>
      </w:r>
      <w:r>
        <w:rPr>
          <w:rFonts w:hint="eastAsia" w:ascii="Times New Roman" w:hAnsi="Times New Roman" w:eastAsia="宋体"/>
          <w:b/>
          <w:bCs/>
          <w:color w:val="auto"/>
          <w:sz w:val="24"/>
          <w:szCs w:val="24"/>
        </w:rPr>
        <w:t>-</w:t>
      </w:r>
      <w:r>
        <w:rPr>
          <w:rFonts w:hint="eastAsia" w:ascii="Times New Roman" w:hAnsi="Times New Roman" w:eastAsia="宋体"/>
          <w:b/>
          <w:bCs/>
          <w:color w:val="auto"/>
          <w:sz w:val="24"/>
          <w:szCs w:val="24"/>
          <w:lang w:val="en-US" w:eastAsia="zh-CN"/>
        </w:rPr>
        <w:t xml:space="preserve"> 1</w:t>
      </w:r>
      <w:r>
        <w:rPr>
          <w:rFonts w:hint="eastAsia" w:ascii="Times New Roman" w:hAnsi="Times New Roman" w:eastAsia="宋体"/>
          <w:b w:val="0"/>
          <w:bCs w:val="0"/>
          <w:color w:val="auto"/>
          <w:sz w:val="24"/>
          <w:szCs w:val="24"/>
          <w:lang w:val="en-US" w:eastAsia="zh-CN"/>
        </w:rPr>
        <w:t>项目生活污水排放执行</w:t>
      </w:r>
      <w:r>
        <w:rPr>
          <w:rFonts w:hint="default" w:ascii="Times New Roman" w:hAnsi="Times New Roman" w:eastAsia="宋体" w:cs="Times New Roman"/>
          <w:sz w:val="24"/>
          <w:szCs w:val="24"/>
        </w:rPr>
        <w:t>《城市污水再生利用城市杂用水水质》（GB/T18920-20</w:t>
      </w:r>
      <w:r>
        <w:rPr>
          <w:rFonts w:hint="eastAsia"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w:t>
      </w:r>
      <w:r>
        <w:rPr>
          <w:rFonts w:hint="eastAsia" w:ascii="Times New Roman" w:hAnsi="Times New Roman" w:cs="Times New Roman"/>
          <w:sz w:val="24"/>
          <w:szCs w:val="24"/>
          <w:lang w:val="en-US" w:eastAsia="zh-CN"/>
        </w:rPr>
        <w:t>表1中城市绿化杂用水标准浓度，</w:t>
      </w:r>
      <w:r>
        <w:rPr>
          <w:rFonts w:hint="eastAsia" w:ascii="黑体" w:hAnsi="黑体" w:eastAsia="黑体" w:cs="黑体"/>
          <w:b w:val="0"/>
          <w:bCs w:val="0"/>
          <w:color w:val="auto"/>
          <w:sz w:val="21"/>
          <w:szCs w:val="21"/>
        </w:rPr>
        <w:t>详见表6.</w:t>
      </w:r>
      <w:r>
        <w:rPr>
          <w:rFonts w:hint="eastAsia" w:ascii="黑体" w:hAnsi="黑体" w:eastAsia="黑体" w:cs="黑体"/>
          <w:b w:val="0"/>
          <w:bCs w:val="0"/>
          <w:color w:val="auto"/>
          <w:sz w:val="21"/>
          <w:szCs w:val="21"/>
          <w:lang w:val="en-US" w:eastAsia="zh-CN"/>
        </w:rPr>
        <w:t>2</w:t>
      </w:r>
      <w:r>
        <w:rPr>
          <w:rFonts w:hint="eastAsia" w:ascii="黑体" w:hAnsi="黑体" w:eastAsia="黑体" w:cs="黑体"/>
          <w:b w:val="0"/>
          <w:bCs w:val="0"/>
          <w:color w:val="auto"/>
          <w:sz w:val="21"/>
          <w:szCs w:val="21"/>
        </w:rPr>
        <w:t>-1：</w:t>
      </w:r>
      <w:r>
        <w:rPr>
          <w:rFonts w:hint="eastAsia" w:ascii="黑体" w:hAnsi="黑体" w:eastAsia="黑体" w:cs="黑体"/>
          <w:b w:val="0"/>
          <w:bCs w:val="0"/>
          <w:color w:val="auto"/>
          <w:szCs w:val="20"/>
          <w:lang w:val="en-US" w:eastAsia="zh-CN"/>
        </w:rPr>
        <w:t xml:space="preserve"> </w:t>
      </w:r>
    </w:p>
    <w:tbl>
      <w:tblPr>
        <w:tblStyle w:val="30"/>
        <w:tblpPr w:leftFromText="180" w:rightFromText="180" w:vertAnchor="text" w:horzAnchor="page" w:tblpX="957" w:tblpY="452"/>
        <w:tblOverlap w:val="never"/>
        <w:tblW w:w="95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4"/>
        <w:gridCol w:w="1063"/>
        <w:gridCol w:w="1043"/>
        <w:gridCol w:w="979"/>
        <w:gridCol w:w="919"/>
        <w:gridCol w:w="1449"/>
        <w:gridCol w:w="792"/>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1" w:hRule="atLeast"/>
        </w:trPr>
        <w:tc>
          <w:tcPr>
            <w:tcW w:w="2414" w:type="dxa"/>
          </w:tcPr>
          <w:p>
            <w:pPr>
              <w:pStyle w:val="104"/>
              <w:pageBreakBefore w:val="0"/>
              <w:widowControl w:val="0"/>
              <w:numPr>
                <w:ilvl w:val="0"/>
                <w:numId w:val="0"/>
              </w:numPr>
              <w:kinsoku/>
              <w:wordWrap/>
              <w:overflowPunct/>
              <w:topLinePunct w:val="0"/>
              <w:autoSpaceDE/>
              <w:autoSpaceDN/>
              <w:bidi w:val="0"/>
              <w:adjustRightInd/>
              <w:snapToGrid/>
              <w:spacing w:line="360" w:lineRule="auto"/>
              <w:ind w:firstLine="241" w:firstLineChars="100"/>
              <w:textAlignment w:val="auto"/>
              <w:rPr>
                <w:rFonts w:hint="eastAsia" w:ascii="Times New Roman" w:hAnsi="Times New Roman"/>
                <w:b/>
                <w:bCs/>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olor w:val="auto"/>
                <w:szCs w:val="24"/>
                <w:vertAlign w:val="baseline"/>
                <w:lang w:val="en-US" w:eastAsia="zh-CN"/>
              </w:rPr>
            </w:pPr>
            <w:r>
              <w:rPr>
                <w:rFonts w:hint="eastAsia" w:ascii="Times New Roman" w:hAnsi="Times New Roman"/>
                <w:b/>
                <w:bCs/>
                <w:color w:val="auto"/>
                <w:szCs w:val="24"/>
                <w:vertAlign w:val="baseline"/>
                <w:lang w:val="en-US" w:eastAsia="zh-CN"/>
              </w:rPr>
              <w:t>污染物名称</w:t>
            </w:r>
          </w:p>
        </w:tc>
        <w:tc>
          <w:tcPr>
            <w:tcW w:w="1063" w:type="dxa"/>
          </w:tcPr>
          <w:p>
            <w:pPr>
              <w:pStyle w:val="104"/>
              <w:pageBreakBefore w:val="0"/>
              <w:widowControl w:val="0"/>
              <w:numPr>
                <w:ilvl w:val="0"/>
                <w:numId w:val="0"/>
              </w:numPr>
              <w:kinsoku/>
              <w:wordWrap/>
              <w:overflowPunct/>
              <w:topLinePunct w:val="0"/>
              <w:autoSpaceDE/>
              <w:autoSpaceDN/>
              <w:bidi w:val="0"/>
              <w:adjustRightInd/>
              <w:snapToGrid/>
              <w:spacing w:line="360" w:lineRule="auto"/>
              <w:ind w:firstLine="720" w:firstLineChars="300"/>
              <w:textAlignment w:val="auto"/>
              <w:rPr>
                <w:rFonts w:hint="eastAsia" w:ascii="Times New Roman" w:hAnsi="Times New Roman"/>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auto"/>
                <w:szCs w:val="24"/>
                <w:vertAlign w:val="baseline"/>
                <w:lang w:val="en-US" w:eastAsia="zh-CN"/>
              </w:rPr>
            </w:pPr>
            <w:r>
              <w:rPr>
                <w:rFonts w:hint="eastAsia" w:ascii="Times New Roman" w:hAnsi="Times New Roman"/>
                <w:color w:val="auto"/>
                <w:szCs w:val="24"/>
                <w:vertAlign w:val="baseline"/>
                <w:lang w:val="en-US" w:eastAsia="zh-CN"/>
              </w:rPr>
              <w:t>PH</w:t>
            </w:r>
          </w:p>
          <w:p>
            <w:pPr>
              <w:pStyle w:val="104"/>
              <w:pageBreakBefore w:val="0"/>
              <w:widowControl w:val="0"/>
              <w:numPr>
                <w:ilvl w:val="0"/>
                <w:numId w:val="0"/>
              </w:numPr>
              <w:kinsoku/>
              <w:wordWrap/>
              <w:overflowPunct/>
              <w:topLinePunct w:val="0"/>
              <w:autoSpaceDE/>
              <w:autoSpaceDN/>
              <w:bidi w:val="0"/>
              <w:adjustRightInd/>
              <w:snapToGrid/>
              <w:spacing w:line="360" w:lineRule="auto"/>
              <w:ind w:firstLine="720" w:firstLineChars="300"/>
              <w:textAlignment w:val="auto"/>
              <w:rPr>
                <w:rFonts w:hint="default" w:ascii="Times New Roman" w:hAnsi="Times New Roman"/>
                <w:color w:val="auto"/>
                <w:szCs w:val="24"/>
                <w:vertAlign w:val="baseline"/>
                <w:lang w:val="en-US" w:eastAsia="zh-CN"/>
              </w:rPr>
            </w:pPr>
          </w:p>
        </w:tc>
        <w:tc>
          <w:tcPr>
            <w:tcW w:w="1043"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color w:val="auto"/>
                <w:szCs w:val="24"/>
                <w:vertAlign w:val="baseline"/>
                <w:lang w:val="en-US" w:eastAsia="zh-CN"/>
              </w:rPr>
            </w:pPr>
            <w:r>
              <w:rPr>
                <w:rFonts w:hint="eastAsia" w:ascii="Times New Roman" w:hAnsi="Times New Roman"/>
                <w:color w:val="auto"/>
                <w:szCs w:val="24"/>
                <w:vertAlign w:val="baseline"/>
                <w:lang w:val="en-US" w:eastAsia="zh-CN"/>
              </w:rPr>
              <w:t xml:space="preserve">  </w:t>
            </w:r>
          </w:p>
          <w:p>
            <w:pPr>
              <w:pStyle w:val="104"/>
              <w:pageBreakBefore w:val="0"/>
              <w:widowControl w:val="0"/>
              <w:numPr>
                <w:ilvl w:val="0"/>
                <w:numId w:val="0"/>
              </w:numPr>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cs="Times New Roman"/>
                <w:szCs w:val="21"/>
                <w:lang w:val="en-US" w:eastAsia="zh-CN"/>
              </w:rPr>
            </w:pPr>
            <w:r>
              <w:rPr>
                <w:rFonts w:hint="eastAsia" w:cs="Times New Roman"/>
                <w:szCs w:val="21"/>
                <w:lang w:val="en-US" w:eastAsia="zh-CN"/>
              </w:rPr>
              <w:t>色度</w:t>
            </w:r>
          </w:p>
        </w:tc>
        <w:tc>
          <w:tcPr>
            <w:tcW w:w="97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Cs w:val="21"/>
              </w:rPr>
            </w:pPr>
          </w:p>
          <w:p>
            <w:pPr>
              <w:pStyle w:val="104"/>
              <w:pageBreakBefore w:val="0"/>
              <w:widowControl w:val="0"/>
              <w:numPr>
                <w:ilvl w:val="0"/>
                <w:numId w:val="0"/>
              </w:numPr>
              <w:kinsoku/>
              <w:wordWrap/>
              <w:overflowPunct/>
              <w:topLinePunct w:val="0"/>
              <w:autoSpaceDE/>
              <w:autoSpaceDN/>
              <w:bidi w:val="0"/>
              <w:adjustRightInd/>
              <w:snapToGrid/>
              <w:spacing w:line="360" w:lineRule="auto"/>
              <w:ind w:firstLine="240" w:firstLineChars="100"/>
              <w:textAlignment w:val="auto"/>
              <w:rPr>
                <w:rFonts w:hint="eastAsia" w:ascii="Times New Roman" w:hAnsi="Times New Roman" w:eastAsia="宋体"/>
                <w:color w:val="auto"/>
                <w:szCs w:val="24"/>
                <w:vertAlign w:val="baseline"/>
                <w:lang w:eastAsia="zh-CN"/>
              </w:rPr>
            </w:pPr>
            <w:r>
              <w:rPr>
                <w:rFonts w:hint="eastAsia" w:cs="Times New Roman"/>
                <w:szCs w:val="21"/>
                <w:lang w:val="en-US" w:eastAsia="zh-CN"/>
              </w:rPr>
              <w:t>氨氮</w:t>
            </w:r>
          </w:p>
        </w:tc>
        <w:tc>
          <w:tcPr>
            <w:tcW w:w="91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vertAlign w:val="baseline"/>
                <w:lang w:val="en-US" w:eastAsia="zh-CN"/>
              </w:rPr>
            </w:pPr>
            <w:r>
              <w:rPr>
                <w:rFonts w:hint="eastAsia"/>
                <w:color w:val="auto"/>
                <w:szCs w:val="24"/>
                <w:vertAlign w:val="baseline"/>
                <w:lang w:val="en-US" w:eastAsia="zh-CN"/>
              </w:rPr>
              <w:t>五日化学需氧量</w:t>
            </w:r>
          </w:p>
        </w:tc>
        <w:tc>
          <w:tcPr>
            <w:tcW w:w="144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r>
              <w:rPr>
                <w:rFonts w:hint="eastAsia" w:ascii="Times New Roman" w:hAnsi="Times New Roman" w:eastAsia="宋体" w:cs="Times New Roman"/>
                <w:color w:val="auto"/>
                <w:kern w:val="2"/>
                <w:sz w:val="44"/>
                <w:szCs w:val="44"/>
                <w:vertAlign w:val="subscript"/>
                <w:lang w:val="en-US" w:eastAsia="zh-CN" w:bidi="ar-SA"/>
              </w:rPr>
              <w:t>溶解性总固体</w:t>
            </w:r>
          </w:p>
        </w:tc>
        <w:tc>
          <w:tcPr>
            <w:tcW w:w="792"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kern w:val="0"/>
                <w:sz w:val="20"/>
                <w:szCs w:val="20"/>
                <w:lang w:val="en-US" w:eastAsia="zh-CN" w:bidi="ar"/>
              </w:rPr>
            </w:pPr>
            <w:r>
              <w:rPr>
                <w:rFonts w:hint="eastAsia" w:ascii="Times New Roman" w:hAnsi="Times New Roman" w:eastAsia="宋体" w:cs="Times New Roman"/>
                <w:color w:val="auto"/>
                <w:kern w:val="2"/>
                <w:sz w:val="44"/>
                <w:szCs w:val="44"/>
                <w:vertAlign w:val="subscript"/>
                <w:lang w:val="en-US" w:eastAsia="zh-CN" w:bidi="ar-SA"/>
              </w:rPr>
              <w:t>溶解氧</w:t>
            </w:r>
          </w:p>
        </w:tc>
        <w:tc>
          <w:tcPr>
            <w:tcW w:w="877" w:type="dxa"/>
          </w:tcPr>
          <w:p>
            <w:pPr>
              <w:jc w:val="both"/>
              <w:rPr>
                <w:rFonts w:hint="default" w:ascii="宋体"/>
                <w:b w:val="0"/>
                <w:bCs/>
                <w:sz w:val="24"/>
                <w:szCs w:val="24"/>
                <w:vertAlign w:val="baseline"/>
                <w:lang w:val="en-US" w:eastAsia="zh-CN"/>
              </w:rPr>
            </w:pPr>
            <w:r>
              <w:rPr>
                <w:rFonts w:hint="eastAsia" w:ascii="宋体"/>
                <w:b w:val="0"/>
                <w:bCs/>
                <w:sz w:val="24"/>
                <w:szCs w:val="24"/>
                <w:vertAlign w:val="baseline"/>
                <w:lang w:val="en-US" w:eastAsia="zh-CN"/>
              </w:rPr>
              <w:t>总 大</w:t>
            </w:r>
          </w:p>
          <w:p>
            <w:pPr>
              <w:jc w:val="both"/>
              <w:rPr>
                <w:rFonts w:hint="eastAsia" w:ascii="宋体"/>
                <w:b w:val="0"/>
                <w:bCs/>
                <w:sz w:val="24"/>
                <w:szCs w:val="24"/>
                <w:vertAlign w:val="baseline"/>
                <w:lang w:val="en-US" w:eastAsia="zh-CN"/>
              </w:rPr>
            </w:pPr>
          </w:p>
          <w:p>
            <w:pPr>
              <w:jc w:val="both"/>
              <w:rPr>
                <w:rFonts w:hint="eastAsia" w:ascii="宋体"/>
                <w:b w:val="0"/>
                <w:bCs/>
                <w:sz w:val="24"/>
                <w:szCs w:val="24"/>
                <w:vertAlign w:val="baseline"/>
                <w:lang w:val="en-US" w:eastAsia="zh-CN"/>
              </w:rPr>
            </w:pPr>
            <w:r>
              <w:rPr>
                <w:rFonts w:hint="eastAsia" w:ascii="宋体"/>
                <w:b w:val="0"/>
                <w:bCs/>
                <w:sz w:val="24"/>
                <w:szCs w:val="24"/>
                <w:vertAlign w:val="baseline"/>
                <w:lang w:val="en-US" w:eastAsia="zh-CN"/>
              </w:rPr>
              <w:t>肠 杆</w:t>
            </w:r>
          </w:p>
          <w:p>
            <w:pPr>
              <w:jc w:val="both"/>
              <w:rPr>
                <w:rFonts w:hint="eastAsia" w:ascii="宋体"/>
                <w:b w:val="0"/>
                <w:bCs/>
                <w:sz w:val="24"/>
                <w:szCs w:val="24"/>
                <w:vertAlign w:val="baseline"/>
                <w:lang w:val="en-US" w:eastAsia="zh-CN"/>
              </w:rPr>
            </w:pPr>
          </w:p>
          <w:p>
            <w:pPr>
              <w:jc w:val="both"/>
              <w:rPr>
                <w:rFonts w:hint="default" w:ascii="宋体"/>
                <w:b w:val="0"/>
                <w:bCs/>
                <w:sz w:val="24"/>
                <w:szCs w:val="24"/>
                <w:vertAlign w:val="baseline"/>
                <w:lang w:val="en-US" w:eastAsia="zh-CN"/>
              </w:rPr>
            </w:pPr>
            <w:r>
              <w:rPr>
                <w:rFonts w:hint="eastAsia" w:ascii="宋体"/>
                <w:b w:val="0"/>
                <w:bCs/>
                <w:sz w:val="24"/>
                <w:szCs w:val="24"/>
                <w:vertAlign w:val="baseline"/>
                <w:lang w:val="en-US" w:eastAsia="zh-CN"/>
              </w:rPr>
              <w:t>菌</w:t>
            </w:r>
          </w:p>
          <w:p>
            <w:pPr>
              <w:pStyle w:val="104"/>
              <w:pageBreakBefore w:val="0"/>
              <w:widowControl w:val="0"/>
              <w:numPr>
                <w:ilvl w:val="0"/>
                <w:numId w:val="0"/>
              </w:numPr>
              <w:kinsoku/>
              <w:wordWrap/>
              <w:overflowPunct/>
              <w:topLinePunct w:val="0"/>
              <w:autoSpaceDE/>
              <w:autoSpaceDN/>
              <w:bidi w:val="0"/>
              <w:adjustRightInd/>
              <w:snapToGrid/>
              <w:spacing w:line="360" w:lineRule="auto"/>
              <w:ind w:firstLine="200" w:firstLineChars="100"/>
              <w:textAlignment w:val="auto"/>
              <w:rPr>
                <w:rFonts w:hint="default" w:ascii="Times New Roman" w:hAnsi="Times New Roman" w:eastAsia="宋体" w:cs="Times New Roman"/>
                <w:color w:val="000000"/>
                <w:kern w:val="0"/>
                <w:sz w:val="20"/>
                <w:szCs w:val="20"/>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7" w:hRule="atLeast"/>
        </w:trPr>
        <w:tc>
          <w:tcPr>
            <w:tcW w:w="2414"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lang w:val="en-US" w:eastAsia="zh-CN"/>
              </w:rPr>
            </w:pPr>
            <w:r>
              <w:rPr>
                <w:rFonts w:hint="default" w:ascii="Times New Roman" w:hAnsi="Times New Roman" w:eastAsia="宋体" w:cs="Times New Roman"/>
                <w:sz w:val="24"/>
                <w:szCs w:val="24"/>
              </w:rPr>
              <w:t>《城市污水再生利用城市杂用水水质》（GB/T18920-20</w:t>
            </w:r>
            <w:r>
              <w:rPr>
                <w:rFonts w:hint="eastAsia" w:cs="Times New Roman"/>
                <w:sz w:val="24"/>
                <w:szCs w:val="24"/>
                <w:lang w:val="en-US" w:eastAsia="zh-CN"/>
              </w:rPr>
              <w:t>20</w:t>
            </w:r>
            <w:r>
              <w:rPr>
                <w:rFonts w:hint="default" w:ascii="Times New Roman" w:hAnsi="Times New Roman" w:eastAsia="宋体" w:cs="Times New Roman"/>
                <w:sz w:val="24"/>
                <w:szCs w:val="24"/>
              </w:rPr>
              <w:t>）</w:t>
            </w: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vertAlign w:val="baseline"/>
                <w:lang w:val="en-US" w:eastAsia="zh-CN"/>
              </w:rPr>
            </w:pPr>
            <w:r>
              <w:rPr>
                <w:rFonts w:hint="eastAsia" w:ascii="Times New Roman" w:hAnsi="Times New Roman"/>
                <w:color w:val="auto"/>
                <w:szCs w:val="24"/>
                <w:vertAlign w:val="baseline"/>
                <w:lang w:val="en-US" w:eastAsia="zh-CN"/>
              </w:rPr>
              <w:t xml:space="preserve"> </w:t>
            </w:r>
          </w:p>
        </w:tc>
        <w:tc>
          <w:tcPr>
            <w:tcW w:w="1063"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eastAsia="宋体" w:cs="Times New Roman"/>
                <w:color w:val="auto"/>
                <w:szCs w:val="24"/>
                <w:vertAlign w:val="baseline"/>
                <w:lang w:val="en-US" w:eastAsia="zh-CN"/>
              </w:rPr>
            </w:pPr>
            <w:r>
              <w:rPr>
                <w:rFonts w:hint="eastAsia" w:ascii="Times New Roman" w:hAnsi="Times New Roman"/>
                <w:color w:val="auto"/>
                <w:szCs w:val="24"/>
                <w:vertAlign w:val="baseline"/>
                <w:lang w:val="en-US" w:eastAsia="zh-CN"/>
              </w:rPr>
              <w:t>6</w:t>
            </w:r>
            <w:r>
              <w:rPr>
                <w:rFonts w:hint="eastAsia" w:ascii="宋体" w:hAnsi="宋体" w:eastAsia="宋体" w:cs="宋体"/>
                <w:color w:val="auto"/>
                <w:szCs w:val="24"/>
                <w:vertAlign w:val="baseline"/>
                <w:lang w:val="en-US" w:eastAsia="zh-CN"/>
              </w:rPr>
              <w:t>－</w:t>
            </w:r>
            <w:r>
              <w:rPr>
                <w:rFonts w:hint="eastAsia" w:ascii="Times New Roman" w:hAnsi="Times New Roman" w:cs="Times New Roman"/>
                <w:color w:val="auto"/>
                <w:szCs w:val="24"/>
                <w:vertAlign w:val="baseline"/>
                <w:lang w:val="en-US" w:eastAsia="zh-CN"/>
              </w:rPr>
              <w:t>9</w:t>
            </w:r>
          </w:p>
        </w:tc>
        <w:tc>
          <w:tcPr>
            <w:tcW w:w="1043"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Cs w:val="24"/>
                <w:vertAlign w:val="baseline"/>
                <w:lang w:val="en-US" w:eastAsia="zh-CN"/>
              </w:rPr>
            </w:pPr>
            <w:r>
              <w:rPr>
                <w:rFonts w:hint="eastAsia"/>
                <w:color w:val="auto"/>
                <w:szCs w:val="24"/>
                <w:vertAlign w:val="baseline"/>
                <w:lang w:val="en-US" w:eastAsia="zh-CN"/>
              </w:rPr>
              <w:t xml:space="preserve">  30</w:t>
            </w:r>
          </w:p>
        </w:tc>
        <w:tc>
          <w:tcPr>
            <w:tcW w:w="97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vertAlign w:val="baseline"/>
                <w:lang w:val="en-US" w:eastAsia="zh-CN"/>
              </w:rPr>
            </w:pPr>
            <w:r>
              <w:rPr>
                <w:rFonts w:hint="eastAsia"/>
                <w:color w:val="auto"/>
                <w:szCs w:val="24"/>
                <w:vertAlign w:val="baseline"/>
                <w:lang w:val="en-US" w:eastAsia="zh-CN"/>
              </w:rPr>
              <w:t xml:space="preserve">  8</w:t>
            </w:r>
          </w:p>
        </w:tc>
        <w:tc>
          <w:tcPr>
            <w:tcW w:w="91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olor w:val="auto"/>
                <w:szCs w:val="24"/>
                <w:vertAlign w:val="baseline"/>
                <w:lang w:val="en-US" w:eastAsia="zh-CN"/>
              </w:rPr>
            </w:pPr>
            <w:r>
              <w:rPr>
                <w:rFonts w:hint="eastAsia"/>
                <w:color w:val="auto"/>
                <w:szCs w:val="24"/>
                <w:vertAlign w:val="baseline"/>
                <w:lang w:val="en-US" w:eastAsia="zh-CN"/>
              </w:rPr>
              <w:t xml:space="preserve">  10</w:t>
            </w:r>
          </w:p>
        </w:tc>
        <w:tc>
          <w:tcPr>
            <w:tcW w:w="1449"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olor w:val="auto"/>
                <w:szCs w:val="24"/>
                <w:vertAlign w:val="baseline"/>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Cs w:val="24"/>
                <w:vertAlign w:val="baseline"/>
                <w:lang w:val="en-US" w:eastAsia="zh-CN"/>
              </w:rPr>
            </w:pPr>
            <w:r>
              <w:rPr>
                <w:rFonts w:hint="eastAsia"/>
                <w:color w:val="auto"/>
                <w:szCs w:val="24"/>
                <w:vertAlign w:val="baseline"/>
                <w:lang w:val="en-US" w:eastAsia="zh-CN"/>
              </w:rPr>
              <w:t>1000</w:t>
            </w:r>
            <w:r>
              <w:rPr>
                <w:rFonts w:hint="default" w:ascii="Times New Roman" w:hAnsi="Times New Roman" w:cs="Times New Roman"/>
                <w:color w:val="auto"/>
                <w:szCs w:val="24"/>
                <w:vertAlign w:val="baseline"/>
                <w:lang w:val="en-US" w:eastAsia="zh-CN"/>
              </w:rPr>
              <w:t>(</w:t>
            </w:r>
            <w:r>
              <w:rPr>
                <w:rFonts w:hint="eastAsia"/>
                <w:color w:val="auto"/>
                <w:szCs w:val="24"/>
                <w:vertAlign w:val="baseline"/>
                <w:lang w:val="en-US" w:eastAsia="zh-CN"/>
              </w:rPr>
              <w:t>2000</w:t>
            </w:r>
            <w:r>
              <w:rPr>
                <w:rFonts w:hint="default" w:ascii="Times New Roman" w:hAnsi="Times New Roman" w:cs="Times New Roman"/>
                <w:color w:val="auto"/>
                <w:szCs w:val="24"/>
                <w:vertAlign w:val="baseline"/>
                <w:lang w:val="en-US" w:eastAsia="zh-CN"/>
              </w:rPr>
              <w:t>)a</w:t>
            </w:r>
          </w:p>
        </w:tc>
        <w:tc>
          <w:tcPr>
            <w:tcW w:w="792" w:type="dxa"/>
          </w:tcPr>
          <w:p>
            <w:pPr>
              <w:pStyle w:val="104"/>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color w:val="auto"/>
                <w:szCs w:val="24"/>
                <w:vertAlign w:val="baseline"/>
                <w:lang w:val="en-US" w:eastAsia="zh-CN"/>
              </w:rPr>
            </w:pPr>
            <w:r>
              <w:rPr>
                <w:rFonts w:hint="eastAsia"/>
                <w:color w:val="auto"/>
                <w:szCs w:val="24"/>
                <w:vertAlign w:val="baseline"/>
                <w:lang w:val="en-US" w:eastAsia="zh-CN"/>
              </w:rPr>
              <w:t>2.0</w:t>
            </w:r>
          </w:p>
        </w:tc>
        <w:tc>
          <w:tcPr>
            <w:tcW w:w="877" w:type="dxa"/>
          </w:tcPr>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color w:val="auto"/>
                <w:szCs w:val="24"/>
                <w:vertAlign w:val="baseline"/>
                <w:lang w:val="en-US" w:eastAsia="zh-CN"/>
              </w:rPr>
            </w:pPr>
          </w:p>
          <w:p>
            <w:pPr>
              <w:pStyle w:val="10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color w:val="auto"/>
                <w:szCs w:val="24"/>
                <w:vertAlign w:val="baseline"/>
                <w:lang w:val="en-US" w:eastAsia="zh-CN"/>
              </w:rPr>
            </w:pPr>
            <w:r>
              <w:rPr>
                <w:rFonts w:hint="eastAsia"/>
                <w:color w:val="auto"/>
                <w:szCs w:val="24"/>
                <w:vertAlign w:val="baseline"/>
                <w:lang w:val="en-US" w:eastAsia="zh-CN"/>
              </w:rPr>
              <w:t xml:space="preserve"> </w:t>
            </w:r>
            <w:r>
              <w:rPr>
                <w:rFonts w:hint="eastAsia" w:ascii="宋体" w:hAnsi="宋体" w:eastAsia="宋体" w:cs="宋体"/>
                <w:color w:val="auto"/>
                <w:szCs w:val="24"/>
                <w:vertAlign w:val="baseline"/>
                <w:lang w:val="en-US" w:eastAsia="zh-CN"/>
              </w:rPr>
              <w:t>－</w:t>
            </w:r>
          </w:p>
        </w:tc>
      </w:tr>
    </w:tbl>
    <w:p>
      <w:pPr>
        <w:bidi w:val="0"/>
        <w:ind w:firstLine="1054" w:firstLineChars="500"/>
        <w:jc w:val="left"/>
        <w:rPr>
          <w:rFonts w:hint="default"/>
          <w:color w:val="0000FF"/>
          <w:lang w:val="en-US" w:eastAsia="zh-CN"/>
        </w:rPr>
      </w:pPr>
      <w:r>
        <w:rPr>
          <w:rFonts w:hint="eastAsia" w:ascii="Times New Roman" w:hAnsi="Times New Roman" w:eastAsia="宋体"/>
          <w:b/>
          <w:bCs/>
          <w:color w:val="auto"/>
          <w:szCs w:val="20"/>
        </w:rPr>
        <w:t>6.</w:t>
      </w:r>
      <w:r>
        <w:rPr>
          <w:rFonts w:hint="eastAsia" w:ascii="Times New Roman" w:hAnsi="Times New Roman"/>
          <w:b/>
          <w:bCs/>
          <w:color w:val="auto"/>
          <w:szCs w:val="20"/>
          <w:lang w:val="en-US" w:eastAsia="zh-CN"/>
        </w:rPr>
        <w:t>2</w:t>
      </w:r>
      <w:r>
        <w:rPr>
          <w:rFonts w:hint="eastAsia" w:ascii="Times New Roman" w:hAnsi="Times New Roman" w:eastAsia="宋体"/>
          <w:b/>
          <w:bCs/>
          <w:color w:val="auto"/>
          <w:szCs w:val="20"/>
        </w:rPr>
        <w:t>-1</w:t>
      </w:r>
      <w:r>
        <w:rPr>
          <w:rFonts w:hint="eastAsia" w:ascii="Times New Roman" w:hAnsi="Times New Roman" w:eastAsia="宋体"/>
          <w:b/>
          <w:bCs/>
          <w:color w:val="auto"/>
          <w:szCs w:val="20"/>
          <w:lang w:val="en-US" w:eastAsia="zh-CN"/>
        </w:rPr>
        <w:t xml:space="preserve"> 污水排放标准</w:t>
      </w:r>
      <w:r>
        <w:rPr>
          <w:rFonts w:hint="eastAsia" w:ascii="宋体" w:hAnsi="宋体" w:eastAsia="宋体" w:cs="宋体"/>
          <w:b/>
          <w:bCs/>
          <w:color w:val="auto"/>
          <w:szCs w:val="20"/>
          <w:lang w:val="en-US" w:eastAsia="zh-CN"/>
        </w:rPr>
        <w:t>:单位</w:t>
      </w:r>
      <w:r>
        <w:rPr>
          <w:rFonts w:hint="eastAsia" w:ascii="Times New Roman" w:hAnsi="Times New Roman" w:eastAsia="宋体"/>
          <w:b/>
          <w:bCs/>
          <w:caps w:val="0"/>
          <w:color w:val="auto"/>
          <w:sz w:val="21"/>
          <w:vertAlign w:val="baseline"/>
          <w:lang w:val="en-US" w:eastAsia="zh-CN"/>
        </w:rPr>
        <w:t>mg/L ， PH除</w:t>
      </w:r>
    </w:p>
    <w:p>
      <w:pPr>
        <w:pStyle w:val="4"/>
        <w:pageBreakBefore w:val="0"/>
        <w:widowControl w:val="0"/>
        <w:kinsoku/>
        <w:wordWrap/>
        <w:overflowPunct/>
        <w:topLinePunct w:val="0"/>
        <w:bidi w:val="0"/>
        <w:adjustRightInd/>
        <w:snapToGrid/>
        <w:spacing w:before="0" w:after="0" w:line="360" w:lineRule="auto"/>
        <w:ind w:left="0" w:leftChars="0" w:right="0" w:rightChars="0"/>
        <w:textAlignment w:val="auto"/>
        <w:rPr>
          <w:rFonts w:ascii="Times New Roman" w:hAnsi="Times New Roman" w:eastAsia="宋体"/>
          <w:color w:val="auto"/>
        </w:rPr>
      </w:pPr>
      <w:bookmarkStart w:id="89" w:name="_Toc27734"/>
      <w:r>
        <w:rPr>
          <w:rFonts w:ascii="Times New Roman" w:hAnsi="Times New Roman" w:eastAsia="宋体"/>
          <w:color w:val="auto"/>
        </w:rPr>
        <w:t>6</w:t>
      </w:r>
      <w:r>
        <w:rPr>
          <w:rFonts w:hint="eastAsia" w:ascii="Times New Roman" w:hAnsi="Times New Roman" w:eastAsia="宋体"/>
          <w:color w:val="auto"/>
        </w:rPr>
        <w:t>.</w:t>
      </w:r>
      <w:r>
        <w:rPr>
          <w:rFonts w:hint="eastAsia" w:ascii="Times New Roman" w:hAnsi="Times New Roman" w:eastAsia="宋体"/>
          <w:color w:val="auto"/>
          <w:lang w:val="en-US" w:eastAsia="zh-CN"/>
        </w:rPr>
        <w:t>3</w:t>
      </w:r>
      <w:r>
        <w:rPr>
          <w:rFonts w:ascii="Times New Roman" w:hAnsi="Times New Roman" w:eastAsia="宋体"/>
          <w:color w:val="auto"/>
        </w:rPr>
        <w:t>噪声</w:t>
      </w:r>
      <w:r>
        <w:rPr>
          <w:rFonts w:hint="eastAsia" w:ascii="Times New Roman" w:hAnsi="Times New Roman" w:eastAsia="宋体"/>
          <w:color w:val="auto"/>
        </w:rPr>
        <w:t>排放标准</w:t>
      </w:r>
      <w:bookmarkEnd w:id="87"/>
      <w:bookmarkEnd w:id="88"/>
      <w:bookmarkEnd w:id="89"/>
    </w:p>
    <w:p>
      <w:pPr>
        <w:pStyle w:val="104"/>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ascii="Times New Roman" w:hAnsi="Times New Roman" w:eastAsia="宋体"/>
          <w:color w:val="auto"/>
          <w:szCs w:val="20"/>
        </w:rPr>
      </w:pPr>
      <w:r>
        <w:rPr>
          <w:rFonts w:hint="eastAsia" w:ascii="Times New Roman" w:hAnsi="Times New Roman" w:eastAsia="宋体"/>
          <w:color w:val="auto"/>
        </w:rPr>
        <w:t>本项目</w:t>
      </w:r>
      <w:r>
        <w:rPr>
          <w:rFonts w:ascii="Times New Roman" w:hAnsi="Times New Roman" w:eastAsia="宋体"/>
          <w:color w:val="auto"/>
        </w:rPr>
        <w:t>营运期厂界</w:t>
      </w:r>
      <w:r>
        <w:rPr>
          <w:rFonts w:hint="eastAsia" w:ascii="Times New Roman" w:hAnsi="Times New Roman" w:eastAsia="宋体"/>
          <w:color w:val="auto"/>
        </w:rPr>
        <w:t>昼夜间</w:t>
      </w:r>
      <w:r>
        <w:rPr>
          <w:rFonts w:ascii="Times New Roman" w:hAnsi="Times New Roman" w:eastAsia="宋体"/>
          <w:color w:val="auto"/>
        </w:rPr>
        <w:t>噪声排放执行《工业企业厂界环境噪声排放标准》</w:t>
      </w:r>
      <w:r>
        <w:rPr>
          <w:rFonts w:hint="eastAsia" w:ascii="Times New Roman" w:hAnsi="Times New Roman" w:eastAsia="宋体"/>
          <w:color w:val="auto"/>
        </w:rPr>
        <w:t>（</w:t>
      </w:r>
      <w:r>
        <w:rPr>
          <w:rFonts w:ascii="Times New Roman" w:hAnsi="Times New Roman" w:eastAsia="宋体"/>
          <w:color w:val="auto"/>
        </w:rPr>
        <w:t>GB12348-2008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类排放标准，</w:t>
      </w:r>
      <w:r>
        <w:rPr>
          <w:rFonts w:hint="eastAsia" w:ascii="Times New Roman" w:hAnsi="Times New Roman" w:eastAsia="宋体"/>
          <w:color w:val="auto"/>
          <w:szCs w:val="20"/>
        </w:rPr>
        <w:t>详见表6.</w:t>
      </w:r>
      <w:r>
        <w:rPr>
          <w:rFonts w:hint="eastAsia"/>
          <w:color w:val="auto"/>
          <w:szCs w:val="20"/>
          <w:lang w:val="en-US" w:eastAsia="zh-CN"/>
        </w:rPr>
        <w:t>3</w:t>
      </w:r>
      <w:r>
        <w:rPr>
          <w:rFonts w:hint="eastAsia" w:ascii="Times New Roman" w:hAnsi="Times New Roman" w:eastAsia="宋体"/>
          <w:color w:val="auto"/>
          <w:szCs w:val="20"/>
        </w:rPr>
        <w:t>-1：</w:t>
      </w:r>
    </w:p>
    <w:p>
      <w:pPr>
        <w:pageBreakBefore w:val="0"/>
        <w:widowControl w:val="0"/>
        <w:kinsoku/>
        <w:wordWrap/>
        <w:overflowPunct/>
        <w:topLinePunct w:val="0"/>
        <w:autoSpaceDE w:val="0"/>
        <w:autoSpaceDN w:val="0"/>
        <w:bidi w:val="0"/>
        <w:adjustRightInd/>
        <w:snapToGrid/>
        <w:spacing w:line="360" w:lineRule="auto"/>
        <w:ind w:left="0" w:leftChars="0" w:right="0" w:rightChars="0"/>
        <w:jc w:val="center"/>
        <w:textAlignment w:val="auto"/>
        <w:rPr>
          <w:rFonts w:ascii="Times New Roman" w:hAnsi="Times New Roman" w:eastAsia="宋体"/>
          <w:b/>
          <w:color w:val="auto"/>
          <w:szCs w:val="21"/>
        </w:rPr>
      </w:pPr>
      <w:r>
        <w:rPr>
          <w:rFonts w:ascii="Times New Roman" w:hAnsi="Times New Roman" w:eastAsia="宋体"/>
          <w:b/>
          <w:color w:val="auto"/>
          <w:szCs w:val="21"/>
        </w:rPr>
        <w:t>表6.</w:t>
      </w:r>
      <w:r>
        <w:rPr>
          <w:rFonts w:hint="eastAsia" w:ascii="Times New Roman" w:hAnsi="Times New Roman" w:eastAsia="宋体"/>
          <w:b/>
          <w:color w:val="auto"/>
          <w:szCs w:val="21"/>
          <w:lang w:val="en-US" w:eastAsia="zh-CN"/>
        </w:rPr>
        <w:t>3</w:t>
      </w:r>
      <w:r>
        <w:rPr>
          <w:rFonts w:hint="eastAsia" w:ascii="Times New Roman" w:hAnsi="Times New Roman" w:eastAsia="宋体"/>
          <w:b/>
          <w:color w:val="auto"/>
          <w:szCs w:val="21"/>
        </w:rPr>
        <w:t>-</w:t>
      </w:r>
      <w:r>
        <w:rPr>
          <w:rFonts w:ascii="Times New Roman" w:hAnsi="Times New Roman" w:eastAsia="宋体"/>
          <w:b/>
          <w:color w:val="auto"/>
          <w:szCs w:val="21"/>
        </w:rPr>
        <w:t>1 噪声排放标准限值</w:t>
      </w:r>
    </w:p>
    <w:tbl>
      <w:tblPr>
        <w:tblStyle w:val="29"/>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136"/>
        <w:gridCol w:w="2895"/>
        <w:gridCol w:w="336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标准</w:t>
            </w:r>
          </w:p>
        </w:tc>
        <w:tc>
          <w:tcPr>
            <w:tcW w:w="3331"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标准值（dB（A））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昼间</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color w:val="auto"/>
                <w:szCs w:val="21"/>
              </w:rPr>
            </w:pPr>
            <w:r>
              <w:rPr>
                <w:rFonts w:ascii="Times New Roman" w:hAnsi="Times New Roman" w:eastAsia="宋体" w:cs="Times New Roman"/>
                <w:b/>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66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color w:val="auto"/>
                <w:szCs w:val="21"/>
              </w:rPr>
            </w:pPr>
            <w:r>
              <w:rPr>
                <w:rFonts w:ascii="Times New Roman" w:hAnsi="Times New Roman" w:eastAsia="宋体" w:cs="Times New Roman"/>
                <w:color w:val="auto"/>
              </w:rPr>
              <w:t>GB12348-2008</w:t>
            </w:r>
            <w:r>
              <w:rPr>
                <w:rFonts w:hint="eastAsia" w:ascii="Times New Roman" w:hAnsi="Times New Roman" w:eastAsia="宋体" w:cs="Times New Roman"/>
                <w:color w:val="auto"/>
              </w:rPr>
              <w:t>中</w:t>
            </w:r>
            <w:r>
              <w:rPr>
                <w:rFonts w:hint="eastAsia" w:ascii="Times New Roman" w:hAnsi="Times New Roman" w:eastAsia="宋体" w:cs="Times New Roman"/>
                <w:color w:val="auto"/>
                <w:szCs w:val="21"/>
                <w:lang w:val="en-US" w:eastAsia="zh-CN"/>
              </w:rPr>
              <w:t>2</w:t>
            </w:r>
            <w:r>
              <w:rPr>
                <w:rFonts w:ascii="Times New Roman" w:hAnsi="Times New Roman" w:eastAsia="宋体" w:cs="Times New Roman"/>
                <w:color w:val="auto"/>
                <w:szCs w:val="21"/>
              </w:rPr>
              <w:t>类区标准</w:t>
            </w:r>
          </w:p>
        </w:tc>
        <w:tc>
          <w:tcPr>
            <w:tcW w:w="154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6</w:t>
            </w:r>
            <w:r>
              <w:rPr>
                <w:rFonts w:hint="eastAsia" w:ascii="Times New Roman" w:hAnsi="Times New Roman" w:eastAsia="宋体" w:cs="Times New Roman"/>
                <w:color w:val="auto"/>
                <w:szCs w:val="21"/>
                <w:lang w:val="en-US" w:eastAsia="zh-CN"/>
              </w:rPr>
              <w:t>0</w:t>
            </w:r>
          </w:p>
        </w:tc>
        <w:tc>
          <w:tcPr>
            <w:tcW w:w="179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5</w:t>
            </w:r>
            <w:r>
              <w:rPr>
                <w:rFonts w:hint="eastAsia" w:ascii="Times New Roman" w:hAnsi="Times New Roman" w:eastAsia="宋体" w:cs="Times New Roman"/>
                <w:color w:val="auto"/>
                <w:szCs w:val="21"/>
                <w:lang w:val="en-US" w:eastAsia="zh-CN"/>
              </w:rPr>
              <w:t>0</w:t>
            </w:r>
          </w:p>
        </w:tc>
      </w:tr>
    </w:tbl>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textAlignment w:val="auto"/>
        <w:rPr>
          <w:rFonts w:ascii="Times New Roman" w:hAnsi="Times New Roman" w:eastAsia="宋体"/>
          <w:color w:val="auto"/>
        </w:rPr>
      </w:pPr>
      <w:bookmarkStart w:id="90" w:name="_Toc507454881"/>
      <w:bookmarkStart w:id="91" w:name="_Toc495589884"/>
      <w:bookmarkStart w:id="92" w:name="_Toc13936"/>
      <w:r>
        <w:rPr>
          <w:rFonts w:ascii="Times New Roman" w:hAnsi="Times New Roman" w:eastAsia="宋体"/>
          <w:color w:val="auto"/>
        </w:rPr>
        <w:t>6</w:t>
      </w:r>
      <w:r>
        <w:rPr>
          <w:rFonts w:hint="eastAsia" w:ascii="Times New Roman" w:hAnsi="Times New Roman" w:eastAsia="宋体"/>
          <w:color w:val="auto"/>
        </w:rPr>
        <w:t>.</w:t>
      </w:r>
      <w:r>
        <w:rPr>
          <w:rFonts w:hint="eastAsia" w:ascii="Times New Roman" w:hAnsi="Times New Roman" w:eastAsia="宋体"/>
          <w:color w:val="auto"/>
          <w:lang w:val="en-US" w:eastAsia="zh-CN"/>
        </w:rPr>
        <w:t>4</w:t>
      </w:r>
      <w:r>
        <w:rPr>
          <w:rFonts w:hint="eastAsia" w:ascii="Times New Roman" w:hAnsi="Times New Roman" w:eastAsia="宋体"/>
          <w:color w:val="auto"/>
        </w:rPr>
        <w:t>固废控制标准</w:t>
      </w:r>
      <w:bookmarkEnd w:id="90"/>
      <w:bookmarkEnd w:id="91"/>
      <w:bookmarkEnd w:id="92"/>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lang w:val="en-US" w:eastAsia="zh-CN"/>
        </w:rPr>
      </w:pPr>
      <w:r>
        <w:rPr>
          <w:rFonts w:ascii="Times New Roman" w:hAnsi="Times New Roman" w:eastAsia="宋体"/>
          <w:color w:val="auto"/>
          <w:sz w:val="24"/>
          <w:szCs w:val="24"/>
        </w:rPr>
        <w:t>一般固体废物</w:t>
      </w:r>
      <w:r>
        <w:rPr>
          <w:rFonts w:hint="eastAsia" w:ascii="Times New Roman" w:hAnsi="Times New Roman" w:eastAsia="宋体"/>
          <w:color w:val="auto"/>
          <w:sz w:val="24"/>
          <w:szCs w:val="24"/>
        </w:rPr>
        <w:t>贮存、处置</w:t>
      </w:r>
      <w:r>
        <w:rPr>
          <w:rFonts w:ascii="Times New Roman" w:hAnsi="Times New Roman" w:eastAsia="宋体"/>
          <w:color w:val="auto"/>
          <w:sz w:val="24"/>
          <w:szCs w:val="24"/>
        </w:rPr>
        <w:t>执行《一般工业固体废物贮存</w:t>
      </w:r>
      <w:r>
        <w:rPr>
          <w:rFonts w:hint="eastAsia" w:ascii="Times New Roman" w:hAnsi="Times New Roman" w:eastAsia="宋体"/>
          <w:color w:val="auto"/>
          <w:sz w:val="24"/>
          <w:szCs w:val="24"/>
          <w:lang w:val="en-US" w:eastAsia="zh-CN"/>
        </w:rPr>
        <w:t>和填埋</w:t>
      </w:r>
      <w:r>
        <w:rPr>
          <w:rFonts w:ascii="Times New Roman" w:hAnsi="Times New Roman" w:eastAsia="宋体"/>
          <w:color w:val="auto"/>
          <w:sz w:val="24"/>
          <w:szCs w:val="24"/>
        </w:rPr>
        <w:t>污染控制标准》</w:t>
      </w:r>
      <w:r>
        <w:rPr>
          <w:rFonts w:hint="eastAsia" w:ascii="Times New Roman" w:hAnsi="Times New Roman" w:eastAsia="宋体"/>
          <w:color w:val="auto"/>
          <w:sz w:val="24"/>
          <w:szCs w:val="24"/>
        </w:rPr>
        <w:t>（</w:t>
      </w:r>
      <w:r>
        <w:rPr>
          <w:rFonts w:ascii="Times New Roman" w:hAnsi="Times New Roman" w:eastAsia="宋体"/>
          <w:color w:val="auto"/>
          <w:sz w:val="24"/>
          <w:szCs w:val="24"/>
        </w:rPr>
        <w:t> GB18599-20</w:t>
      </w:r>
      <w:r>
        <w:rPr>
          <w:rFonts w:hint="eastAsia" w:ascii="Times New Roman" w:hAnsi="Times New Roman" w:eastAsia="宋体"/>
          <w:color w:val="auto"/>
          <w:sz w:val="24"/>
          <w:szCs w:val="24"/>
          <w:lang w:val="en-US" w:eastAsia="zh-CN"/>
        </w:rPr>
        <w:t>20</w:t>
      </w:r>
      <w:r>
        <w:rPr>
          <w:rFonts w:hint="eastAsia" w:ascii="Times New Roman" w:hAnsi="Times New Roman" w:eastAsia="宋体"/>
          <w:color w:val="auto"/>
          <w:sz w:val="24"/>
          <w:szCs w:val="24"/>
        </w:rPr>
        <w:t>）</w:t>
      </w:r>
      <w:r>
        <w:rPr>
          <w:rFonts w:ascii="Times New Roman" w:hAnsi="Times New Roman" w:eastAsia="宋体"/>
          <w:color w:val="auto"/>
          <w:sz w:val="24"/>
          <w:szCs w:val="24"/>
        </w:rPr>
        <w:t>中的规定。</w:t>
      </w:r>
      <w:r>
        <w:rPr>
          <w:rFonts w:hint="default" w:ascii="Times New Roman" w:hAnsi="Times New Roman" w:eastAsia="宋体" w:cs="Times New Roman"/>
          <w:sz w:val="24"/>
          <w:szCs w:val="24"/>
        </w:rPr>
        <w:t>危险废物按《危险废物贮存污染控制标准》（GB 18597-2001）及国家环保部【2013】第36号关于该标准的修改单中相关要求中相关规定要求进行收集和处理。</w:t>
      </w:r>
      <w:bookmarkStart w:id="93" w:name="_Toc53502013"/>
      <w:r>
        <w:rPr>
          <w:rFonts w:hint="eastAsia" w:ascii="Times New Roman" w:hAnsi="Times New Roman" w:eastAsia="宋体" w:cs="Times New Roman"/>
          <w:color w:val="0000FF"/>
          <w:lang w:val="en-US" w:eastAsia="zh-CN"/>
        </w:rPr>
        <w:t xml:space="preserve">                                               </w:t>
      </w:r>
    </w:p>
    <w:p>
      <w:pPr>
        <w:pStyle w:val="4"/>
        <w:pageBreakBefore w:val="0"/>
        <w:widowControl w:val="0"/>
        <w:kinsoku/>
        <w:wordWrap/>
        <w:overflowPunct/>
        <w:topLinePunct w:val="0"/>
        <w:autoSpaceDE/>
        <w:autoSpaceDN/>
        <w:bidi w:val="0"/>
        <w:adjustRightInd/>
        <w:snapToGrid/>
        <w:spacing w:before="0" w:after="0" w:line="360" w:lineRule="auto"/>
        <w:ind w:firstLine="301" w:firstLineChars="100"/>
        <w:textAlignment w:val="auto"/>
        <w:rPr>
          <w:rFonts w:ascii="Times New Roman" w:hAnsi="Times New Roman" w:eastAsia="宋体" w:cs="Times New Roman"/>
        </w:rPr>
      </w:pPr>
      <w:bookmarkStart w:id="94" w:name="_Toc19395"/>
      <w:r>
        <w:rPr>
          <w:rFonts w:ascii="Times New Roman" w:hAnsi="Times New Roman" w:eastAsia="宋体" w:cs="Times New Roman"/>
        </w:rPr>
        <w:t>6.</w:t>
      </w:r>
      <w:r>
        <w:rPr>
          <w:rFonts w:hint="eastAsia" w:ascii="Times New Roman" w:hAnsi="Times New Roman" w:eastAsia="宋体" w:cs="Times New Roman"/>
          <w:lang w:val="en-US" w:eastAsia="zh-CN"/>
        </w:rPr>
        <w:t>5</w:t>
      </w:r>
      <w:r>
        <w:rPr>
          <w:rFonts w:ascii="Times New Roman" w:hAnsi="Times New Roman" w:eastAsia="宋体" w:cs="Times New Roman"/>
        </w:rPr>
        <w:t>总量核定标准</w:t>
      </w:r>
      <w:bookmarkEnd w:id="93"/>
      <w:bookmarkEnd w:id="9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0000FF"/>
        </w:rPr>
        <w:sectPr>
          <w:pgSz w:w="11906" w:h="16838"/>
          <w:pgMar w:top="1361" w:right="1361" w:bottom="1361" w:left="1361" w:header="851" w:footer="737" w:gutter="0"/>
          <w:pgBorders>
            <w:top w:val="none" w:sz="0" w:space="0"/>
            <w:left w:val="none" w:sz="0" w:space="0"/>
            <w:bottom w:val="none" w:sz="0" w:space="0"/>
            <w:right w:val="none" w:sz="0" w:space="0"/>
          </w:pgBorders>
          <w:cols w:space="0" w:num="1"/>
          <w:rtlGutter w:val="0"/>
          <w:docGrid w:type="lines" w:linePitch="312" w:charSpace="0"/>
        </w:sectPr>
      </w:pPr>
      <w:r>
        <w:rPr>
          <w:rFonts w:hint="eastAsia" w:ascii="Times New Roman" w:hAnsi="Times New Roman" w:eastAsia="宋体"/>
          <w:color w:val="auto"/>
        </w:rPr>
        <w:t>本</w:t>
      </w:r>
      <w:r>
        <w:rPr>
          <w:rFonts w:ascii="Times New Roman" w:hAnsi="Times New Roman" w:eastAsia="宋体"/>
          <w:kern w:val="0"/>
          <w:szCs w:val="24"/>
          <w:lang w:val="zh-CN"/>
        </w:rPr>
        <w:t>项目要实行污染物排放总量控制</w:t>
      </w:r>
      <w:r>
        <w:rPr>
          <w:rFonts w:hint="eastAsia" w:ascii="Times New Roman" w:hAnsi="Times New Roman" w:eastAsia="宋体"/>
          <w:kern w:val="0"/>
          <w:szCs w:val="24"/>
          <w:lang w:val="zh-CN"/>
        </w:rPr>
        <w:t>，</w:t>
      </w:r>
      <w:r>
        <w:rPr>
          <w:rFonts w:ascii="Times New Roman" w:hAnsi="Times New Roman" w:eastAsia="宋体"/>
          <w:kern w:val="1"/>
          <w:szCs w:val="24"/>
        </w:rPr>
        <w:t>废气污染物总量控制指标确定为VOCs：</w:t>
      </w:r>
      <w:r>
        <w:rPr>
          <w:rFonts w:hint="eastAsia" w:ascii="Times New Roman" w:hAnsi="Times New Roman" w:eastAsia="宋体"/>
          <w:color w:val="auto"/>
          <w:kern w:val="1"/>
          <w:szCs w:val="24"/>
        </w:rPr>
        <w:t>0.</w:t>
      </w:r>
      <w:r>
        <w:rPr>
          <w:rFonts w:hint="eastAsia" w:ascii="Times New Roman" w:hAnsi="Times New Roman" w:eastAsia="宋体"/>
          <w:color w:val="auto"/>
          <w:kern w:val="1"/>
          <w:szCs w:val="24"/>
          <w:lang w:val="en-US" w:eastAsia="zh-CN"/>
        </w:rPr>
        <w:t>532</w:t>
      </w:r>
      <w:r>
        <w:rPr>
          <w:rFonts w:ascii="Times New Roman" w:hAnsi="Times New Roman" w:eastAsia="宋体"/>
          <w:color w:val="auto"/>
          <w:kern w:val="1"/>
          <w:szCs w:val="24"/>
        </w:rPr>
        <w:t>t/a</w:t>
      </w:r>
      <w:r>
        <w:rPr>
          <w:rFonts w:ascii="Times New Roman" w:hAnsi="Times New Roman" w:eastAsia="宋体"/>
          <w:color w:val="0000FF"/>
          <w:kern w:val="1"/>
          <w:szCs w:val="24"/>
        </w:rPr>
        <w:t>。</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95" w:name="_Toc507454882"/>
      <w:bookmarkStart w:id="96" w:name="_Toc4504"/>
      <w:r>
        <w:rPr>
          <w:rFonts w:hint="eastAsia" w:ascii="Times New Roman" w:hAnsi="Times New Roman" w:eastAsia="宋体"/>
          <w:color w:val="auto"/>
        </w:rPr>
        <w:t>七、验收监测内容</w:t>
      </w:r>
      <w:bookmarkEnd w:id="95"/>
      <w:bookmarkEnd w:id="96"/>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97" w:name="_Toc19613"/>
      <w:bookmarkStart w:id="98" w:name="_Toc495589887"/>
      <w:bookmarkStart w:id="99" w:name="_Toc507454883"/>
      <w:r>
        <w:rPr>
          <w:rFonts w:hint="eastAsia" w:ascii="Times New Roman" w:hAnsi="Times New Roman" w:eastAsia="宋体"/>
          <w:color w:val="auto"/>
        </w:rPr>
        <w:t>7</w:t>
      </w:r>
      <w:r>
        <w:rPr>
          <w:rFonts w:ascii="Times New Roman" w:hAnsi="Times New Roman" w:eastAsia="宋体"/>
          <w:color w:val="auto"/>
        </w:rPr>
        <w:t>.1</w:t>
      </w:r>
      <w:r>
        <w:rPr>
          <w:rFonts w:hint="eastAsia" w:ascii="Times New Roman" w:hAnsi="Times New Roman" w:eastAsia="宋体"/>
          <w:color w:val="auto"/>
        </w:rPr>
        <w:t>环境保护设施调试运行效果</w:t>
      </w:r>
      <w:bookmarkEnd w:id="97"/>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20"/>
        </w:rPr>
      </w:pPr>
      <w:r>
        <w:rPr>
          <w:rFonts w:hint="eastAsia" w:ascii="Times New Roman" w:hAnsi="Times New Roman" w:eastAsia="宋体"/>
          <w:color w:val="auto"/>
        </w:rPr>
        <w:t>通过对废气、噪声及其</w:t>
      </w:r>
      <w:r>
        <w:rPr>
          <w:rFonts w:ascii="Times New Roman" w:hAnsi="Times New Roman" w:eastAsia="宋体"/>
          <w:color w:val="auto"/>
        </w:rPr>
        <w:t>治理</w:t>
      </w:r>
      <w:r>
        <w:rPr>
          <w:rFonts w:hint="eastAsia" w:ascii="Times New Roman" w:hAnsi="Times New Roman" w:eastAsia="宋体"/>
          <w:color w:val="auto"/>
        </w:rPr>
        <w:t>设施处理效率的</w:t>
      </w:r>
      <w:r>
        <w:rPr>
          <w:rFonts w:ascii="Times New Roman" w:hAnsi="Times New Roman" w:eastAsia="宋体"/>
          <w:color w:val="auto"/>
        </w:rPr>
        <w:t>监测，</w:t>
      </w:r>
      <w:r>
        <w:rPr>
          <w:rFonts w:hint="eastAsia" w:ascii="Times New Roman" w:hAnsi="Times New Roman" w:eastAsia="宋体"/>
          <w:color w:val="auto"/>
        </w:rPr>
        <w:t>来说明</w:t>
      </w:r>
      <w:r>
        <w:rPr>
          <w:rFonts w:ascii="Times New Roman" w:hAnsi="Times New Roman" w:eastAsia="宋体"/>
          <w:color w:val="auto"/>
        </w:rPr>
        <w:t>环境保护</w:t>
      </w:r>
      <w:r>
        <w:rPr>
          <w:rFonts w:hint="eastAsia" w:ascii="Times New Roman" w:hAnsi="Times New Roman" w:eastAsia="宋体"/>
          <w:color w:val="auto"/>
        </w:rPr>
        <w:t>设施调试运行效果及污染物达标排放情况，具体监测内容如下：</w:t>
      </w:r>
    </w:p>
    <w:bookmarkEnd w:id="98"/>
    <w:bookmarkEnd w:id="99"/>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100" w:name="_Toc48659637"/>
      <w:bookmarkStart w:id="101" w:name="_Toc53502016"/>
      <w:bookmarkStart w:id="102" w:name="_Toc23602"/>
      <w:r>
        <w:rPr>
          <w:rFonts w:ascii="Times New Roman" w:hAnsi="Times New Roman" w:eastAsia="宋体"/>
          <w:color w:val="auto"/>
        </w:rPr>
        <w:t>7.1.</w:t>
      </w:r>
      <w:r>
        <w:rPr>
          <w:rFonts w:hint="eastAsia" w:ascii="Times New Roman" w:hAnsi="Times New Roman" w:eastAsia="宋体"/>
          <w:color w:val="auto"/>
        </w:rPr>
        <w:t>1</w:t>
      </w:r>
      <w:bookmarkEnd w:id="100"/>
      <w:bookmarkEnd w:id="101"/>
      <w:bookmarkStart w:id="103" w:name="_Toc48659638"/>
      <w:bookmarkStart w:id="104" w:name="_Toc53502017"/>
      <w:r>
        <w:rPr>
          <w:rFonts w:hint="eastAsia" w:ascii="Times New Roman" w:hAnsi="Times New Roman" w:eastAsia="宋体"/>
          <w:color w:val="auto"/>
          <w:lang w:eastAsia="zh-CN"/>
        </w:rPr>
        <w:t>有</w:t>
      </w:r>
      <w:r>
        <w:rPr>
          <w:rFonts w:ascii="Times New Roman" w:hAnsi="Times New Roman" w:eastAsia="宋体"/>
          <w:color w:val="auto"/>
        </w:rPr>
        <w:t>组织废气监测</w:t>
      </w:r>
      <w:bookmarkEnd w:id="102"/>
      <w:bookmarkEnd w:id="103"/>
      <w:bookmarkEnd w:id="104"/>
    </w:p>
    <w:p>
      <w:pPr>
        <w:pStyle w:val="105"/>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44"/>
        </w:rPr>
      </w:pPr>
      <w:r>
        <w:rPr>
          <w:rFonts w:hint="eastAsia" w:ascii="Times New Roman" w:hAnsi="Times New Roman" w:eastAsia="宋体"/>
          <w:color w:val="auto"/>
          <w:lang w:eastAsia="zh-CN"/>
        </w:rPr>
        <w:t>有</w:t>
      </w:r>
      <w:r>
        <w:rPr>
          <w:rFonts w:hint="eastAsia" w:ascii="Times New Roman" w:hAnsi="Times New Roman" w:eastAsia="宋体"/>
          <w:color w:val="auto"/>
        </w:rPr>
        <w:t>组织废气</w:t>
      </w:r>
      <w:r>
        <w:rPr>
          <w:rFonts w:ascii="Times New Roman" w:hAnsi="Times New Roman" w:eastAsia="宋体"/>
          <w:color w:val="auto"/>
        </w:rPr>
        <w:t>监测点位、监测因子和频次，详见表7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szCs w:val="44"/>
          <w:lang w:val="en-US" w:eastAsia="zh-CN"/>
        </w:rPr>
        <w:t>1</w:t>
      </w:r>
      <w:r>
        <w:rPr>
          <w:rFonts w:ascii="Times New Roman" w:hAnsi="Times New Roman" w:eastAsia="宋体"/>
          <w:color w:val="auto"/>
          <w:szCs w:val="4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rPr>
      </w:pPr>
      <w:r>
        <w:rPr>
          <w:rFonts w:ascii="Times New Roman" w:hAnsi="Times New Roman" w:eastAsia="宋体" w:cs="Times New Roman"/>
          <w:b/>
        </w:rPr>
        <w:t>表</w:t>
      </w:r>
      <w:r>
        <w:rPr>
          <w:rFonts w:hint="eastAsia" w:ascii="Times New Roman" w:hAnsi="Times New Roman" w:eastAsia="宋体" w:cs="Times New Roman"/>
          <w:b/>
          <w:lang w:val="en-US" w:eastAsia="zh-CN"/>
        </w:rPr>
        <w:t xml:space="preserve">7.1-1 </w:t>
      </w:r>
      <w:r>
        <w:rPr>
          <w:rFonts w:ascii="Times New Roman" w:hAnsi="Times New Roman" w:eastAsia="宋体" w:cs="Times New Roman"/>
          <w:b/>
        </w:rPr>
        <w:t xml:space="preserve"> 有组织废气验收监测内容一览表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8"/>
        <w:gridCol w:w="3145"/>
        <w:gridCol w:w="3335"/>
        <w:gridCol w:w="17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点位编号</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点位名称</w:t>
            </w:r>
          </w:p>
        </w:tc>
        <w:tc>
          <w:tcPr>
            <w:tcW w:w="177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监测因子</w:t>
            </w:r>
          </w:p>
        </w:tc>
        <w:tc>
          <w:tcPr>
            <w:tcW w:w="91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◎Y1</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lang w:eastAsia="zh-CN"/>
              </w:rPr>
              <w:t>高压静电</w:t>
            </w:r>
            <w:r>
              <w:rPr>
                <w:rFonts w:ascii="Times New Roman" w:hAnsi="Times New Roman" w:eastAsia="宋体" w:cs="Times New Roman"/>
                <w:szCs w:val="21"/>
              </w:rPr>
              <w:t>+</w:t>
            </w:r>
            <w:r>
              <w:rPr>
                <w:rFonts w:hint="eastAsia" w:ascii="Times New Roman" w:hAnsi="Times New Roman" w:eastAsia="宋体" w:cs="Times New Roman"/>
                <w:szCs w:val="21"/>
                <w:lang w:eastAsia="zh-CN"/>
              </w:rPr>
              <w:t>活性炭吸附</w:t>
            </w:r>
            <w:r>
              <w:rPr>
                <w:rFonts w:ascii="Times New Roman" w:hAnsi="Times New Roman" w:eastAsia="宋体" w:cs="Times New Roman"/>
                <w:szCs w:val="21"/>
              </w:rPr>
              <w:t>”装置进口</w:t>
            </w:r>
          </w:p>
        </w:tc>
        <w:tc>
          <w:tcPr>
            <w:tcW w:w="1774" w:type="pct"/>
            <w:tcBorders>
              <w:tl2br w:val="nil"/>
              <w:tr2bl w:val="nil"/>
            </w:tcBorders>
            <w:shd w:val="clear" w:color="auto" w:fill="auto"/>
            <w:vAlign w:val="center"/>
          </w:tcPr>
          <w:p>
            <w:pPr>
              <w:jc w:val="center"/>
              <w:rPr>
                <w:rFonts w:hint="eastAsia" w:ascii="Times New Roman" w:hAnsi="Times New Roman" w:eastAsia="宋体" w:cs="Times New Roman"/>
                <w:szCs w:val="21"/>
                <w:lang w:val="en-US" w:eastAsia="zh-CN"/>
              </w:rPr>
            </w:pPr>
            <w:r>
              <w:rPr>
                <w:rFonts w:ascii="Times New Roman" w:hAnsi="Times New Roman" w:eastAsia="宋体" w:cs="Times New Roman"/>
                <w:szCs w:val="21"/>
              </w:rPr>
              <w:t>废气流量、</w:t>
            </w:r>
            <w:r>
              <w:rPr>
                <w:rFonts w:hint="eastAsia" w:ascii="Times New Roman" w:hAnsi="Times New Roman" w:eastAsia="宋体" w:cs="Times New Roman"/>
                <w:szCs w:val="21"/>
                <w:lang w:eastAsia="zh-CN"/>
              </w:rPr>
              <w:t>非甲烷总烃</w:t>
            </w:r>
          </w:p>
        </w:tc>
        <w:tc>
          <w:tcPr>
            <w:tcW w:w="91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监测2天，</w:t>
            </w:r>
          </w:p>
          <w:p>
            <w:pPr>
              <w:jc w:val="center"/>
              <w:rPr>
                <w:rFonts w:ascii="Times New Roman" w:hAnsi="Times New Roman" w:eastAsia="宋体" w:cs="Times New Roman"/>
                <w:b/>
                <w:szCs w:val="21"/>
              </w:rPr>
            </w:pPr>
            <w:r>
              <w:rPr>
                <w:rFonts w:ascii="Times New Roman" w:hAnsi="Times New Roman" w:eastAsia="宋体" w:cs="Times New Roman"/>
                <w:szCs w:val="21"/>
              </w:rPr>
              <w:t xml:space="preserve">每天3次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3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◎Y2</w:t>
            </w:r>
          </w:p>
        </w:tc>
        <w:tc>
          <w:tcPr>
            <w:tcW w:w="1673"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r>
              <w:rPr>
                <w:rFonts w:hint="eastAsia" w:ascii="Times New Roman" w:hAnsi="Times New Roman" w:eastAsia="宋体" w:cs="Times New Roman"/>
                <w:szCs w:val="21"/>
                <w:lang w:eastAsia="zh-CN"/>
              </w:rPr>
              <w:t>高压静电</w:t>
            </w:r>
            <w:r>
              <w:rPr>
                <w:rFonts w:ascii="Times New Roman" w:hAnsi="Times New Roman" w:eastAsia="宋体" w:cs="Times New Roman"/>
                <w:szCs w:val="21"/>
              </w:rPr>
              <w:t>+</w:t>
            </w:r>
            <w:r>
              <w:rPr>
                <w:rFonts w:hint="eastAsia" w:ascii="Times New Roman" w:hAnsi="Times New Roman" w:eastAsia="宋体" w:cs="Times New Roman"/>
                <w:szCs w:val="21"/>
                <w:lang w:eastAsia="zh-CN"/>
              </w:rPr>
              <w:t>活性炭吸附</w:t>
            </w:r>
            <w:r>
              <w:rPr>
                <w:rFonts w:ascii="Times New Roman" w:hAnsi="Times New Roman" w:eastAsia="宋体" w:cs="Times New Roman"/>
                <w:szCs w:val="21"/>
              </w:rPr>
              <w:t>”装置出口</w:t>
            </w:r>
          </w:p>
        </w:tc>
        <w:tc>
          <w:tcPr>
            <w:tcW w:w="1774"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废气流量、</w:t>
            </w:r>
            <w:r>
              <w:rPr>
                <w:rFonts w:hint="eastAsia" w:ascii="Times New Roman" w:hAnsi="Times New Roman" w:eastAsia="宋体" w:cs="Times New Roman"/>
                <w:szCs w:val="21"/>
                <w:lang w:eastAsia="zh-CN"/>
              </w:rPr>
              <w:t>非甲烷总烃</w:t>
            </w:r>
          </w:p>
        </w:tc>
        <w:tc>
          <w:tcPr>
            <w:tcW w:w="91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bl>
    <w:p>
      <w:pPr>
        <w:pStyle w:val="5"/>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rPr>
      </w:pPr>
      <w:bookmarkStart w:id="105" w:name="_Toc30966"/>
      <w:r>
        <w:rPr>
          <w:rFonts w:ascii="Times New Roman" w:hAnsi="Times New Roman" w:eastAsia="宋体"/>
          <w:color w:val="auto"/>
        </w:rPr>
        <w:t>7.1.</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无</w:t>
      </w:r>
      <w:r>
        <w:rPr>
          <w:rFonts w:ascii="Times New Roman" w:hAnsi="Times New Roman" w:eastAsia="宋体"/>
          <w:color w:val="auto"/>
        </w:rPr>
        <w:t>组织废气监测</w:t>
      </w:r>
      <w:bookmarkEnd w:id="105"/>
    </w:p>
    <w:p>
      <w:pPr>
        <w:pStyle w:val="105"/>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szCs w:val="44"/>
        </w:rPr>
      </w:pPr>
      <w:r>
        <w:rPr>
          <w:rFonts w:hint="eastAsia" w:ascii="Times New Roman" w:hAnsi="Times New Roman" w:eastAsia="宋体"/>
          <w:color w:val="auto"/>
          <w:lang w:eastAsia="zh-CN"/>
        </w:rPr>
        <w:t>无</w:t>
      </w:r>
      <w:r>
        <w:rPr>
          <w:rFonts w:hint="eastAsia" w:ascii="Times New Roman" w:hAnsi="Times New Roman" w:eastAsia="宋体"/>
          <w:color w:val="auto"/>
        </w:rPr>
        <w:t>组织废气</w:t>
      </w:r>
      <w:r>
        <w:rPr>
          <w:rFonts w:ascii="Times New Roman" w:hAnsi="Times New Roman" w:eastAsia="宋体"/>
          <w:color w:val="auto"/>
        </w:rPr>
        <w:t>监测点位、监测因子和频次，详见表7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szCs w:val="44"/>
          <w:lang w:val="en-US" w:eastAsia="zh-CN"/>
        </w:rPr>
        <w:t>2</w:t>
      </w:r>
      <w:r>
        <w:rPr>
          <w:rFonts w:ascii="Times New Roman" w:hAnsi="Times New Roman" w:eastAsia="宋体"/>
          <w:color w:val="auto"/>
          <w:szCs w:val="44"/>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b/>
          <w:color w:val="auto"/>
        </w:rPr>
      </w:pPr>
      <w:r>
        <w:rPr>
          <w:rFonts w:ascii="Times New Roman" w:hAnsi="Times New Roman" w:eastAsia="宋体"/>
          <w:b/>
          <w:color w:val="auto"/>
        </w:rPr>
        <w:t>表7.1-</w:t>
      </w:r>
      <w:r>
        <w:rPr>
          <w:rFonts w:hint="eastAsia" w:ascii="Times New Roman" w:hAnsi="Times New Roman" w:eastAsia="宋体"/>
          <w:b/>
          <w:color w:val="auto"/>
          <w:lang w:val="en-US" w:eastAsia="zh-CN"/>
        </w:rPr>
        <w:t xml:space="preserve">2  </w:t>
      </w:r>
      <w:r>
        <w:rPr>
          <w:rFonts w:ascii="Times New Roman" w:hAnsi="Times New Roman" w:eastAsia="宋体"/>
          <w:b/>
          <w:color w:val="auto"/>
        </w:rPr>
        <w:t>无组织废气监测点位、项目、频次一览表</w:t>
      </w:r>
    </w:p>
    <w:tbl>
      <w:tblPr>
        <w:tblStyle w:val="2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6"/>
        <w:gridCol w:w="1236"/>
        <w:gridCol w:w="2190"/>
        <w:gridCol w:w="2750"/>
        <w:gridCol w:w="23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分类</w:t>
            </w: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点位编号</w:t>
            </w:r>
          </w:p>
        </w:tc>
        <w:tc>
          <w:tcPr>
            <w:tcW w:w="116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点位名称</w:t>
            </w:r>
          </w:p>
        </w:tc>
        <w:tc>
          <w:tcPr>
            <w:tcW w:w="1462"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监测因子</w:t>
            </w:r>
          </w:p>
        </w:tc>
        <w:tc>
          <w:tcPr>
            <w:tcW w:w="122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无组织废气</w:t>
            </w: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○G1</w:t>
            </w:r>
          </w:p>
        </w:tc>
        <w:tc>
          <w:tcPr>
            <w:tcW w:w="1164"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厂界上风向参照点</w:t>
            </w:r>
          </w:p>
        </w:tc>
        <w:tc>
          <w:tcPr>
            <w:tcW w:w="1462" w:type="pct"/>
            <w:vMerge w:val="restar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气象参数、</w:t>
            </w:r>
            <w:r>
              <w:rPr>
                <w:rFonts w:hint="eastAsia" w:ascii="Times New Roman" w:hAnsi="Times New Roman" w:eastAsia="宋体" w:cs="Times New Roman"/>
                <w:szCs w:val="21"/>
                <w:lang w:eastAsia="zh-CN"/>
              </w:rPr>
              <w:t>非甲烷总烃</w:t>
            </w:r>
          </w:p>
        </w:tc>
        <w:tc>
          <w:tcPr>
            <w:tcW w:w="1227"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监测2天，</w:t>
            </w:r>
          </w:p>
          <w:p>
            <w:pPr>
              <w:jc w:val="center"/>
              <w:rPr>
                <w:rFonts w:ascii="Times New Roman" w:hAnsi="Times New Roman" w:eastAsia="宋体" w:cs="Times New Roman"/>
                <w:szCs w:val="21"/>
              </w:rPr>
            </w:pPr>
            <w:r>
              <w:rPr>
                <w:rFonts w:ascii="Times New Roman" w:hAnsi="Times New Roman" w:eastAsia="宋体" w:cs="Times New Roman"/>
                <w:szCs w:val="21"/>
              </w:rPr>
              <w:t>每天3次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○G2</w:t>
            </w:r>
          </w:p>
        </w:tc>
        <w:tc>
          <w:tcPr>
            <w:tcW w:w="1164" w:type="pct"/>
            <w:vMerge w:val="restar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厂界下风向</w:t>
            </w:r>
          </w:p>
          <w:p>
            <w:pPr>
              <w:jc w:val="center"/>
              <w:rPr>
                <w:rFonts w:ascii="Times New Roman" w:hAnsi="Times New Roman" w:eastAsia="宋体" w:cs="Times New Roman"/>
                <w:szCs w:val="21"/>
              </w:rPr>
            </w:pPr>
            <w:r>
              <w:rPr>
                <w:rFonts w:ascii="Times New Roman" w:hAnsi="Times New Roman" w:eastAsia="宋体" w:cs="Times New Roman"/>
                <w:szCs w:val="21"/>
              </w:rPr>
              <w:t>监测点</w:t>
            </w: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○G3</w:t>
            </w:r>
          </w:p>
        </w:tc>
        <w:tc>
          <w:tcPr>
            <w:tcW w:w="1164"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ascii="Times New Roman" w:hAnsi="Times New Roman" w:eastAsia="宋体" w:cs="Times New Roman"/>
                <w:szCs w:val="21"/>
              </w:rPr>
            </w:pPr>
            <w:r>
              <w:rPr>
                <w:rFonts w:ascii="Times New Roman" w:hAnsi="Times New Roman" w:eastAsia="宋体" w:cs="Times New Roman"/>
                <w:szCs w:val="21"/>
              </w:rPr>
              <w:t>○G4</w:t>
            </w:r>
          </w:p>
        </w:tc>
        <w:tc>
          <w:tcPr>
            <w:tcW w:w="1164"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462"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122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7" w:type="pct"/>
            <w:vMerge w:val="continue"/>
            <w:tcBorders>
              <w:tl2br w:val="nil"/>
              <w:tr2bl w:val="nil"/>
            </w:tcBorders>
            <w:shd w:val="clear" w:color="auto" w:fill="auto"/>
            <w:vAlign w:val="center"/>
          </w:tcPr>
          <w:p>
            <w:pPr>
              <w:jc w:val="center"/>
              <w:rPr>
                <w:rFonts w:ascii="Times New Roman" w:hAnsi="Times New Roman" w:eastAsia="宋体" w:cs="Times New Roman"/>
                <w:szCs w:val="21"/>
              </w:rPr>
            </w:pPr>
          </w:p>
        </w:tc>
        <w:tc>
          <w:tcPr>
            <w:tcW w:w="657"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ascii="Times New Roman" w:hAnsi="Times New Roman" w:eastAsia="宋体" w:cs="Times New Roman"/>
                <w:szCs w:val="21"/>
              </w:rPr>
              <w:t>○G</w:t>
            </w:r>
            <w:r>
              <w:rPr>
                <w:rFonts w:hint="eastAsia" w:ascii="Times New Roman" w:hAnsi="Times New Roman" w:eastAsia="宋体" w:cs="Times New Roman"/>
                <w:szCs w:val="21"/>
                <w:lang w:val="en-US" w:eastAsia="zh-CN"/>
              </w:rPr>
              <w:t>5</w:t>
            </w:r>
          </w:p>
        </w:tc>
        <w:tc>
          <w:tcPr>
            <w:tcW w:w="1164" w:type="pct"/>
            <w:tcBorders>
              <w:tl2br w:val="nil"/>
              <w:tr2bl w:val="nil"/>
            </w:tcBorders>
            <w:shd w:val="clear" w:color="auto" w:fill="auto"/>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eastAsia="zh-CN"/>
              </w:rPr>
              <w:t>厂房外</w:t>
            </w:r>
          </w:p>
        </w:tc>
        <w:tc>
          <w:tcPr>
            <w:tcW w:w="1462" w:type="pct"/>
            <w:tcBorders>
              <w:tl2br w:val="nil"/>
              <w:tr2bl w:val="nil"/>
            </w:tcBorders>
            <w:shd w:val="clear" w:color="auto" w:fill="auto"/>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NMHC</w:t>
            </w:r>
          </w:p>
        </w:tc>
        <w:tc>
          <w:tcPr>
            <w:tcW w:w="1227" w:type="pct"/>
            <w:tcBorders>
              <w:tl2br w:val="nil"/>
              <w:tr2bl w:val="nil"/>
            </w:tcBorders>
            <w:shd w:val="clear" w:color="auto" w:fill="auto"/>
            <w:vAlign w:val="center"/>
          </w:tcPr>
          <w:p>
            <w:pPr>
              <w:jc w:val="center"/>
              <w:rPr>
                <w:rFonts w:ascii="Times New Roman" w:hAnsi="Times New Roman" w:eastAsia="宋体" w:cs="Times New Roman"/>
                <w:szCs w:val="21"/>
              </w:rPr>
            </w:pPr>
            <w:r>
              <w:rPr>
                <w:rFonts w:hint="eastAsia" w:ascii="Times New Roman" w:hAnsi="Times New Roman" w:eastAsia="宋体"/>
                <w:caps w:val="0"/>
                <w:color w:val="auto"/>
                <w:sz w:val="21"/>
                <w:vertAlign w:val="baseline"/>
                <w:lang w:val="en-US" w:eastAsia="zh-CN"/>
              </w:rPr>
              <w:t>监控点处1h平均浓度值</w:t>
            </w:r>
          </w:p>
        </w:tc>
      </w:tr>
    </w:tbl>
    <w:p>
      <w:pPr>
        <w:pStyle w:val="5"/>
        <w:pageBreakBefore w:val="0"/>
        <w:widowControl w:val="0"/>
        <w:kinsoku/>
        <w:wordWrap/>
        <w:overflowPunct/>
        <w:topLinePunct w:val="0"/>
        <w:autoSpaceDE/>
        <w:autoSpaceDN/>
        <w:bidi w:val="0"/>
        <w:adjustRightInd/>
        <w:snapToGrid/>
        <w:spacing w:line="360" w:lineRule="auto"/>
        <w:ind w:left="0" w:leftChars="0"/>
        <w:textAlignment w:val="auto"/>
      </w:pPr>
      <w:bookmarkStart w:id="106" w:name="_Toc22484"/>
      <w:bookmarkStart w:id="107" w:name="_Toc507454884"/>
      <w:bookmarkStart w:id="108" w:name="_Toc495589888"/>
      <w:bookmarkStart w:id="109" w:name="_Toc53502018"/>
      <w:bookmarkStart w:id="110" w:name="_Toc48659639"/>
      <w:r>
        <w:rPr>
          <w:rFonts w:ascii="Times New Roman" w:hAnsi="Times New Roman" w:eastAsia="宋体"/>
          <w:color w:val="auto"/>
        </w:rPr>
        <w:t>7.1.</w:t>
      </w:r>
      <w:r>
        <w:rPr>
          <w:rFonts w:hint="eastAsia" w:ascii="Times New Roman" w:hAnsi="Times New Roman" w:eastAsia="宋体"/>
          <w:color w:val="auto"/>
          <w:lang w:val="en-US" w:eastAsia="zh-CN"/>
        </w:rPr>
        <w:t>3</w:t>
      </w:r>
      <w:r>
        <w:rPr>
          <w:rFonts w:ascii="Times New Roman" w:hAnsi="Times New Roman" w:eastAsia="宋体"/>
          <w:color w:val="auto"/>
        </w:rPr>
        <w:t>噪声监测</w:t>
      </w:r>
      <w:bookmarkEnd w:id="106"/>
      <w:bookmarkEnd w:id="107"/>
      <w:bookmarkEnd w:id="108"/>
      <w:bookmarkEnd w:id="109"/>
      <w:bookmarkEnd w:id="110"/>
    </w:p>
    <w:p>
      <w:pPr>
        <w:pStyle w:val="105"/>
        <w:pageBreakBefore w:val="0"/>
        <w:widowControl w:val="0"/>
        <w:kinsoku/>
        <w:wordWrap/>
        <w:overflowPunct/>
        <w:topLinePunct w:val="0"/>
        <w:autoSpaceDE/>
        <w:autoSpaceDN/>
        <w:bidi w:val="0"/>
        <w:adjustRightInd/>
        <w:snapToGrid/>
        <w:spacing w:line="360" w:lineRule="auto"/>
        <w:ind w:left="0" w:leftChars="0" w:firstLine="480"/>
        <w:textAlignment w:val="auto"/>
        <w:rPr>
          <w:rFonts w:ascii="Times New Roman" w:hAnsi="Times New Roman" w:eastAsia="宋体"/>
          <w:color w:val="auto"/>
        </w:rPr>
      </w:pPr>
      <w:r>
        <w:rPr>
          <w:rFonts w:ascii="Times New Roman" w:hAnsi="Times New Roman" w:eastAsia="宋体"/>
          <w:color w:val="auto"/>
        </w:rPr>
        <w:t>噪声监测的点位、项目、频次。详见表7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eastAsia="宋体"/>
          <w:color w:val="auto"/>
          <w:lang w:val="en-US" w:eastAsia="zh-CN"/>
        </w:rPr>
        <w:t>3</w:t>
      </w:r>
      <w:r>
        <w:rPr>
          <w:rFonts w:ascii="Times New Roman" w:hAnsi="Times New Roman" w:eastAsia="宋体"/>
          <w:color w:val="auto"/>
        </w:rPr>
        <w:t>。</w:t>
      </w:r>
    </w:p>
    <w:p>
      <w:pPr>
        <w:pStyle w:val="105"/>
        <w:pageBreakBefore w:val="0"/>
        <w:widowControl w:val="0"/>
        <w:kinsoku/>
        <w:wordWrap/>
        <w:overflowPunct/>
        <w:topLinePunct w:val="0"/>
        <w:autoSpaceDE/>
        <w:autoSpaceDN/>
        <w:bidi w:val="0"/>
        <w:adjustRightInd/>
        <w:snapToGrid/>
        <w:spacing w:line="360" w:lineRule="auto"/>
        <w:ind w:left="0" w:leftChars="0" w:firstLine="422"/>
        <w:jc w:val="center"/>
        <w:textAlignment w:val="auto"/>
        <w:rPr>
          <w:rFonts w:ascii="Times New Roman" w:hAnsi="Times New Roman" w:eastAsia="宋体"/>
          <w:b/>
          <w:color w:val="auto"/>
          <w:sz w:val="21"/>
          <w:szCs w:val="21"/>
        </w:rPr>
      </w:pPr>
      <w:bookmarkStart w:id="111" w:name="OLE_LINK5"/>
      <w:bookmarkStart w:id="112" w:name="OLE_LINK10"/>
      <w:bookmarkStart w:id="113" w:name="OLE_LINK8"/>
      <w:bookmarkStart w:id="114" w:name="OLE_LINK6"/>
      <w:bookmarkStart w:id="115" w:name="OLE_LINK7"/>
      <w:r>
        <w:rPr>
          <w:rFonts w:ascii="Times New Roman" w:hAnsi="Times New Roman" w:eastAsia="宋体"/>
          <w:b/>
          <w:color w:val="auto"/>
          <w:sz w:val="21"/>
          <w:szCs w:val="21"/>
        </w:rPr>
        <w:t>表7</w:t>
      </w:r>
      <w:r>
        <w:rPr>
          <w:rFonts w:hint="eastAsia" w:ascii="Times New Roman" w:hAnsi="Times New Roman" w:eastAsia="宋体"/>
          <w:b/>
          <w:color w:val="auto"/>
          <w:sz w:val="21"/>
          <w:szCs w:val="21"/>
        </w:rPr>
        <w:t>.1</w:t>
      </w:r>
      <w:r>
        <w:rPr>
          <w:rFonts w:ascii="Times New Roman" w:hAnsi="Times New Roman" w:eastAsia="宋体"/>
          <w:b/>
          <w:color w:val="auto"/>
          <w:sz w:val="21"/>
          <w:szCs w:val="21"/>
        </w:rPr>
        <w:t>-</w:t>
      </w:r>
      <w:r>
        <w:rPr>
          <w:rFonts w:hint="eastAsia" w:ascii="Times New Roman" w:hAnsi="Times New Roman" w:eastAsia="宋体"/>
          <w:b/>
          <w:color w:val="auto"/>
          <w:sz w:val="21"/>
          <w:szCs w:val="21"/>
          <w:lang w:val="en-US" w:eastAsia="zh-CN"/>
        </w:rPr>
        <w:t>3</w:t>
      </w:r>
      <w:r>
        <w:rPr>
          <w:rFonts w:ascii="Times New Roman" w:hAnsi="Times New Roman" w:eastAsia="宋体"/>
          <w:b/>
          <w:color w:val="auto"/>
          <w:sz w:val="21"/>
          <w:szCs w:val="21"/>
        </w:rPr>
        <w:t xml:space="preserve"> </w:t>
      </w:r>
      <w:r>
        <w:rPr>
          <w:rFonts w:hint="eastAsia" w:ascii="Times New Roman" w:hAnsi="Times New Roman" w:eastAsia="宋体"/>
          <w:b/>
          <w:color w:val="auto"/>
          <w:sz w:val="21"/>
          <w:szCs w:val="21"/>
          <w:lang w:val="en-US" w:eastAsia="zh-CN"/>
        </w:rPr>
        <w:t xml:space="preserve"> </w:t>
      </w:r>
      <w:r>
        <w:rPr>
          <w:rFonts w:ascii="Times New Roman" w:hAnsi="Times New Roman" w:eastAsia="宋体"/>
          <w:b/>
          <w:color w:val="auto"/>
          <w:sz w:val="21"/>
          <w:szCs w:val="21"/>
        </w:rPr>
        <w:t>噪声监测点位、项目、频次一览表</w:t>
      </w:r>
    </w:p>
    <w:bookmarkEnd w:id="111"/>
    <w:bookmarkEnd w:id="112"/>
    <w:bookmarkEnd w:id="113"/>
    <w:bookmarkEnd w:id="114"/>
    <w:bookmarkEnd w:id="115"/>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32"/>
        <w:gridCol w:w="1375"/>
        <w:gridCol w:w="2749"/>
        <w:gridCol w:w="2903"/>
        <w:gridCol w:w="133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trPr>
        <w:tc>
          <w:tcPr>
            <w:tcW w:w="549"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分类</w:t>
            </w:r>
          </w:p>
        </w:tc>
        <w:tc>
          <w:tcPr>
            <w:tcW w:w="73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点位编号</w:t>
            </w:r>
          </w:p>
        </w:tc>
        <w:tc>
          <w:tcPr>
            <w:tcW w:w="1462"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监测点位</w:t>
            </w:r>
          </w:p>
        </w:tc>
        <w:tc>
          <w:tcPr>
            <w:tcW w:w="1544"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监测因子</w:t>
            </w:r>
          </w:p>
        </w:tc>
        <w:tc>
          <w:tcPr>
            <w:tcW w:w="71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厂界</w:t>
            </w:r>
          </w:p>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噪声</w:t>
            </w: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▲N1</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项目区东厂界</w:t>
            </w:r>
          </w:p>
        </w:tc>
        <w:tc>
          <w:tcPr>
            <w:tcW w:w="1544"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昼间噪声、夜间噪声</w:t>
            </w:r>
          </w:p>
        </w:tc>
        <w:tc>
          <w:tcPr>
            <w:tcW w:w="711" w:type="pct"/>
            <w:vMerge w:val="restar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每天1次</w:t>
            </w:r>
            <w:r>
              <w:rPr>
                <w:rFonts w:hint="eastAsia" w:ascii="Times New Roman" w:hAnsi="Times New Roman" w:eastAsia="宋体" w:cs="Times New Roman"/>
                <w:color w:val="auto"/>
                <w:szCs w:val="21"/>
              </w:rPr>
              <w:t>，</w:t>
            </w:r>
            <w:r>
              <w:rPr>
                <w:rFonts w:ascii="Times New Roman" w:hAnsi="Times New Roman" w:eastAsia="宋体" w:cs="Times New Roman"/>
                <w:color w:val="auto"/>
                <w:szCs w:val="21"/>
              </w:rPr>
              <w:t>监测2天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▲N2</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项目区南厂界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▲N3</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项目区西厂界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49" w:type="pct"/>
            <w:vMerge w:val="continue"/>
            <w:vAlign w:val="center"/>
          </w:tcPr>
          <w:p>
            <w:pPr>
              <w:spacing w:line="360" w:lineRule="exact"/>
              <w:jc w:val="center"/>
              <w:rPr>
                <w:rFonts w:ascii="Times New Roman" w:hAnsi="Times New Roman" w:eastAsia="宋体" w:cs="Times New Roman"/>
                <w:color w:val="auto"/>
                <w:szCs w:val="21"/>
              </w:rPr>
            </w:pPr>
          </w:p>
        </w:tc>
        <w:tc>
          <w:tcPr>
            <w:tcW w:w="731"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▲N4</w:t>
            </w:r>
          </w:p>
        </w:tc>
        <w:tc>
          <w:tcPr>
            <w:tcW w:w="1462"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项目区北厂界</w:t>
            </w:r>
          </w:p>
        </w:tc>
        <w:tc>
          <w:tcPr>
            <w:tcW w:w="1544" w:type="pct"/>
            <w:vMerge w:val="continue"/>
            <w:vAlign w:val="center"/>
          </w:tcPr>
          <w:p>
            <w:pPr>
              <w:spacing w:line="360" w:lineRule="exact"/>
              <w:jc w:val="center"/>
              <w:rPr>
                <w:rFonts w:ascii="Times New Roman" w:hAnsi="Times New Roman" w:eastAsia="宋体" w:cs="Times New Roman"/>
                <w:color w:val="auto"/>
                <w:szCs w:val="21"/>
              </w:rPr>
            </w:pPr>
          </w:p>
        </w:tc>
        <w:tc>
          <w:tcPr>
            <w:tcW w:w="711" w:type="pct"/>
            <w:vMerge w:val="continue"/>
            <w:vAlign w:val="center"/>
          </w:tcPr>
          <w:p>
            <w:pPr>
              <w:spacing w:line="360" w:lineRule="exact"/>
              <w:jc w:val="center"/>
              <w:rPr>
                <w:rFonts w:ascii="Times New Roman" w:hAnsi="Times New Roman" w:eastAsia="宋体" w:cs="Times New Roman"/>
                <w:color w:val="auto"/>
                <w:szCs w:val="21"/>
              </w:rPr>
            </w:pPr>
          </w:p>
        </w:tc>
      </w:tr>
    </w:tbl>
    <w:p>
      <w:pPr>
        <w:pStyle w:val="146"/>
        <w:rPr>
          <w:rFonts w:ascii="Times New Roman" w:hAnsi="Times New Roman" w:eastAsia="宋体"/>
          <w:color w:val="auto"/>
        </w:rPr>
      </w:pPr>
      <w:bookmarkStart w:id="116" w:name="_Toc507454885"/>
    </w:p>
    <w:p>
      <w:pPr>
        <w:pStyle w:val="5"/>
        <w:pageBreakBefore w:val="0"/>
        <w:widowControl w:val="0"/>
        <w:kinsoku/>
        <w:wordWrap/>
        <w:overflowPunct/>
        <w:topLinePunct w:val="0"/>
        <w:autoSpaceDE/>
        <w:autoSpaceDN/>
        <w:bidi w:val="0"/>
        <w:adjustRightInd/>
        <w:snapToGrid/>
        <w:spacing w:line="360" w:lineRule="auto"/>
        <w:ind w:left="0" w:leftChars="0"/>
        <w:textAlignment w:val="auto"/>
        <w:rPr>
          <w:rFonts w:ascii="Times New Roman" w:hAnsi="Times New Roman" w:eastAsia="宋体"/>
          <w:color w:val="auto"/>
        </w:rPr>
      </w:pPr>
      <w:bookmarkStart w:id="117" w:name="_Toc5294"/>
      <w:r>
        <w:rPr>
          <w:rFonts w:ascii="Times New Roman" w:hAnsi="Times New Roman" w:eastAsia="宋体"/>
          <w:color w:val="auto"/>
        </w:rPr>
        <w:t>7.1.</w:t>
      </w:r>
      <w:r>
        <w:rPr>
          <w:rFonts w:hint="eastAsia" w:ascii="Times New Roman" w:hAnsi="Times New Roman"/>
          <w:color w:val="auto"/>
          <w:lang w:val="en-US" w:eastAsia="zh-CN"/>
        </w:rPr>
        <w:t>4生活污水</w:t>
      </w:r>
      <w:r>
        <w:rPr>
          <w:rFonts w:ascii="Times New Roman" w:hAnsi="Times New Roman" w:eastAsia="宋体"/>
          <w:color w:val="auto"/>
        </w:rPr>
        <w:t>监测</w:t>
      </w:r>
      <w:bookmarkEnd w:id="117"/>
    </w:p>
    <w:p>
      <w:pPr>
        <w:pStyle w:val="105"/>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eastAsia="宋体"/>
          <w:lang w:val="en-US" w:eastAsia="zh-CN"/>
        </w:rPr>
      </w:pPr>
      <w:r>
        <w:rPr>
          <w:rFonts w:hint="eastAsia" w:ascii="Times New Roman" w:hAnsi="Times New Roman" w:eastAsia="宋体"/>
          <w:color w:val="auto"/>
          <w:lang w:val="en-US" w:eastAsia="zh-CN"/>
        </w:rPr>
        <w:t xml:space="preserve"> </w:t>
      </w:r>
      <w:r>
        <w:rPr>
          <w:rFonts w:hint="eastAsia" w:ascii="Times New Roman" w:hAnsi="Times New Roman"/>
          <w:color w:val="auto"/>
          <w:lang w:val="en-US" w:eastAsia="zh-CN"/>
        </w:rPr>
        <w:t>生活污水</w:t>
      </w:r>
      <w:r>
        <w:rPr>
          <w:rFonts w:ascii="Times New Roman" w:hAnsi="Times New Roman" w:eastAsia="宋体"/>
          <w:color w:val="auto"/>
        </w:rPr>
        <w:t>监测的点位、项目、频次。详见表7</w:t>
      </w:r>
      <w:r>
        <w:rPr>
          <w:rFonts w:hint="eastAsia" w:ascii="Times New Roman" w:hAnsi="Times New Roman" w:eastAsia="宋体"/>
          <w:color w:val="auto"/>
        </w:rPr>
        <w:t>.1</w:t>
      </w:r>
      <w:r>
        <w:rPr>
          <w:rFonts w:ascii="Times New Roman" w:hAnsi="Times New Roman" w:eastAsia="宋体"/>
          <w:color w:val="auto"/>
        </w:rPr>
        <w:t>-</w:t>
      </w:r>
      <w:r>
        <w:rPr>
          <w:rFonts w:hint="eastAsia" w:ascii="Times New Roman" w:hAnsi="Times New Roman"/>
          <w:color w:val="auto"/>
          <w:lang w:val="en-US" w:eastAsia="zh-CN"/>
        </w:rPr>
        <w:t>4。</w:t>
      </w:r>
    </w:p>
    <w:p>
      <w:pPr>
        <w:pStyle w:val="105"/>
        <w:pageBreakBefore w:val="0"/>
        <w:widowControl w:val="0"/>
        <w:kinsoku/>
        <w:wordWrap/>
        <w:overflowPunct/>
        <w:topLinePunct w:val="0"/>
        <w:autoSpaceDE/>
        <w:autoSpaceDN/>
        <w:bidi w:val="0"/>
        <w:adjustRightInd/>
        <w:snapToGrid/>
        <w:spacing w:line="360" w:lineRule="auto"/>
        <w:ind w:left="0" w:leftChars="0" w:firstLine="720" w:firstLineChars="300"/>
        <w:jc w:val="both"/>
        <w:textAlignment w:val="auto"/>
        <w:rPr>
          <w:rFonts w:ascii="Times New Roman" w:hAnsi="Times New Roman" w:eastAsia="宋体"/>
          <w:b/>
          <w:color w:val="auto"/>
          <w:sz w:val="21"/>
          <w:szCs w:val="21"/>
        </w:rPr>
      </w:pPr>
      <w:r>
        <w:rPr>
          <w:rFonts w:hint="eastAsia" w:ascii="Times New Roman"/>
          <w:color w:val="auto"/>
          <w:lang w:val="en-US" w:eastAsia="zh-CN"/>
        </w:rPr>
        <w:t xml:space="preserve">  </w:t>
      </w:r>
      <w:r>
        <w:rPr>
          <w:rFonts w:ascii="Times New Roman" w:hAnsi="Times New Roman" w:eastAsia="宋体"/>
          <w:b/>
          <w:color w:val="auto"/>
          <w:sz w:val="21"/>
          <w:szCs w:val="21"/>
        </w:rPr>
        <w:t>表7</w:t>
      </w:r>
      <w:r>
        <w:rPr>
          <w:rFonts w:hint="eastAsia" w:ascii="Times New Roman" w:hAnsi="Times New Roman" w:eastAsia="宋体"/>
          <w:b/>
          <w:color w:val="auto"/>
          <w:sz w:val="21"/>
          <w:szCs w:val="21"/>
        </w:rPr>
        <w:t>.1</w:t>
      </w:r>
      <w:r>
        <w:rPr>
          <w:rFonts w:ascii="Times New Roman" w:hAnsi="Times New Roman" w:eastAsia="宋体"/>
          <w:b/>
          <w:color w:val="auto"/>
          <w:sz w:val="21"/>
          <w:szCs w:val="21"/>
        </w:rPr>
        <w:t>-</w:t>
      </w:r>
      <w:r>
        <w:rPr>
          <w:rFonts w:hint="eastAsia" w:ascii="Times New Roman" w:hAnsi="Times New Roman"/>
          <w:b/>
          <w:color w:val="auto"/>
          <w:sz w:val="21"/>
          <w:szCs w:val="21"/>
          <w:lang w:val="en-US" w:eastAsia="zh-CN"/>
        </w:rPr>
        <w:t>4</w:t>
      </w:r>
      <w:r>
        <w:rPr>
          <w:rFonts w:hint="eastAsia" w:ascii="Times New Roman" w:hAnsi="Times New Roman" w:eastAsia="宋体"/>
          <w:b/>
          <w:color w:val="auto"/>
          <w:sz w:val="21"/>
          <w:szCs w:val="21"/>
          <w:lang w:val="en-US" w:eastAsia="zh-CN"/>
        </w:rPr>
        <w:t xml:space="preserve"> </w:t>
      </w:r>
      <w:r>
        <w:rPr>
          <w:rFonts w:hint="eastAsia"/>
          <w:b/>
          <w:color w:val="auto"/>
          <w:sz w:val="21"/>
          <w:szCs w:val="21"/>
          <w:lang w:val="en-US" w:eastAsia="zh-CN"/>
        </w:rPr>
        <w:t>废水</w:t>
      </w:r>
      <w:r>
        <w:rPr>
          <w:rFonts w:ascii="Times New Roman" w:hAnsi="Times New Roman" w:eastAsia="宋体"/>
          <w:b/>
          <w:color w:val="auto"/>
          <w:sz w:val="21"/>
          <w:szCs w:val="21"/>
        </w:rPr>
        <w:t>监测点位、项目、频次一览表</w:t>
      </w:r>
    </w:p>
    <w:p>
      <w:pPr>
        <w:pStyle w:val="146"/>
        <w:rPr>
          <w:rFonts w:hint="default" w:ascii="Times New Roman" w:hAnsi="Times New Roman" w:eastAsia="宋体"/>
          <w:b/>
          <w:bCs/>
          <w:color w:val="auto"/>
          <w:lang w:val="en-US" w:eastAsia="zh-CN"/>
        </w:rPr>
      </w:pPr>
    </w:p>
    <w:tbl>
      <w:tblPr>
        <w:tblStyle w:val="29"/>
        <w:tblW w:w="4912"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04"/>
        <w:gridCol w:w="1351"/>
        <w:gridCol w:w="2709"/>
        <w:gridCol w:w="2857"/>
        <w:gridCol w:w="131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7" w:hRule="atLeast"/>
          <w:tblHeader/>
        </w:trPr>
        <w:tc>
          <w:tcPr>
            <w:tcW w:w="544"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分类</w:t>
            </w:r>
          </w:p>
        </w:tc>
        <w:tc>
          <w:tcPr>
            <w:tcW w:w="73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点位编号</w:t>
            </w:r>
          </w:p>
        </w:tc>
        <w:tc>
          <w:tcPr>
            <w:tcW w:w="1466"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监测点位</w:t>
            </w:r>
          </w:p>
        </w:tc>
        <w:tc>
          <w:tcPr>
            <w:tcW w:w="1546"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监测因子</w:t>
            </w:r>
          </w:p>
        </w:tc>
        <w:tc>
          <w:tcPr>
            <w:tcW w:w="711"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1145" w:hRule="atLeast"/>
        </w:trPr>
        <w:tc>
          <w:tcPr>
            <w:tcW w:w="544" w:type="pct"/>
            <w:vAlign w:val="center"/>
          </w:tcPr>
          <w:p>
            <w:pPr>
              <w:spacing w:line="36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生活污水设施</w:t>
            </w:r>
          </w:p>
        </w:tc>
        <w:tc>
          <w:tcPr>
            <w:tcW w:w="731" w:type="pct"/>
            <w:vAlign w:val="center"/>
          </w:tcPr>
          <w:p>
            <w:pPr>
              <w:jc w:val="both"/>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w:t>
            </w:r>
          </w:p>
          <w:p>
            <w:pPr>
              <w:jc w:val="both"/>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w:t>
            </w:r>
          </w:p>
          <w:p>
            <w:pPr>
              <w:jc w:val="both"/>
              <w:rPr>
                <w:rFonts w:hint="default" w:ascii="Times New Roman" w:hAnsi="Times New Roman" w:eastAsia="宋体" w:cs="Times New Roman"/>
                <w:color w:val="auto"/>
                <w:szCs w:val="21"/>
                <w:lang w:val="en-US"/>
              </w:rPr>
            </w:pPr>
            <w:r>
              <w:rPr>
                <w:sz w:val="21"/>
              </w:rPr>
              <mc:AlternateContent>
                <mc:Choice Requires="wps">
                  <w:drawing>
                    <wp:anchor distT="0" distB="0" distL="114300" distR="114300" simplePos="0" relativeHeight="251673600" behindDoc="0" locked="0" layoutInCell="1" allowOverlap="1">
                      <wp:simplePos x="0" y="0"/>
                      <wp:positionH relativeFrom="column">
                        <wp:posOffset>165100</wp:posOffset>
                      </wp:positionH>
                      <wp:positionV relativeFrom="paragraph">
                        <wp:posOffset>62865</wp:posOffset>
                      </wp:positionV>
                      <wp:extent cx="101600" cy="76200"/>
                      <wp:effectExtent l="12700" t="12700" r="19050" b="25400"/>
                      <wp:wrapNone/>
                      <wp:docPr id="50" name="平行四边形 50"/>
                      <wp:cNvGraphicFramePr/>
                      <a:graphic xmlns:a="http://schemas.openxmlformats.org/drawingml/2006/main">
                        <a:graphicData uri="http://schemas.microsoft.com/office/word/2010/wordprocessingShape">
                          <wps:wsp>
                            <wps:cNvSpPr/>
                            <wps:spPr>
                              <a:xfrm>
                                <a:off x="1560830" y="2179955"/>
                                <a:ext cx="101600" cy="76200"/>
                              </a:xfrm>
                              <a:prstGeom prst="parallelogram">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13pt;margin-top:4.95pt;height:6pt;width:8pt;z-index:251673600;v-text-anchor:middle;mso-width-relative:page;mso-height-relative:page;" fillcolor="#000000 [3213]" filled="t" stroked="t" coordsize="21600,21600" o:gfxdata="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&#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ue56b1QAAAAYBAAAPAAAAAAAAAAEAIAAAACIAAABk&#10;cnMvZG93bnJldi54bWxQSwECFAAUAAAACACHTuJAqHY9dHsCAAD7BAAADgAAAAAAAAABACAAAAAk&#10;AQAAZHJzL2Uyb0RvYy54bWxQSwUGAAAAAAYABgBZAQAAEQYAAAAA&#10;" adj="4050">
                      <v:fill on="t" focussize="0,0"/>
                      <v:stroke weight="2pt" color="#000000 [3213]" joinstyle="round"/>
                      <v:imagedata o:title=""/>
                      <o:lock v:ext="edit" aspectratio="f"/>
                    </v:shape>
                  </w:pict>
                </mc:Fallback>
              </mc:AlternateContent>
            </w:r>
            <w:r>
              <w:rPr>
                <w:rFonts w:hint="eastAsia" w:ascii="Times New Roman" w:hAnsi="Times New Roman" w:eastAsia="宋体" w:cs="Times New Roman"/>
                <w:color w:val="auto"/>
                <w:szCs w:val="21"/>
                <w:lang w:val="en-US" w:eastAsia="zh-CN"/>
              </w:rPr>
              <w:t xml:space="preserve">     1                                 </w:t>
            </w:r>
          </w:p>
        </w:tc>
        <w:tc>
          <w:tcPr>
            <w:tcW w:w="1466" w:type="pct"/>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生活污水设备排放口</w:t>
            </w:r>
          </w:p>
        </w:tc>
        <w:tc>
          <w:tcPr>
            <w:tcW w:w="1546" w:type="pct"/>
            <w:vAlign w:val="center"/>
          </w:tcPr>
          <w:p>
            <w:pPr>
              <w:spacing w:line="240" w:lineRule="auto"/>
              <w:jc w:val="both"/>
              <w:rPr>
                <w:rFonts w:hint="default" w:ascii="Times New Roman" w:hAnsi="Times New Roman" w:eastAsia="宋体" w:cs="Times New Roman"/>
                <w:color w:val="auto"/>
                <w:kern w:val="2"/>
                <w:sz w:val="21"/>
                <w:szCs w:val="21"/>
                <w:vertAlign w:val="subscript"/>
                <w:lang w:val="en-US" w:eastAsia="zh-CN" w:bidi="ar-SA"/>
              </w:rPr>
            </w:pPr>
            <w:r>
              <w:rPr>
                <w:rFonts w:hint="eastAsia" w:ascii="Times New Roman" w:hAnsi="Times New Roman" w:eastAsia="宋体" w:cs="Times New Roman"/>
                <w:color w:val="auto"/>
                <w:kern w:val="2"/>
                <w:sz w:val="30"/>
                <w:szCs w:val="30"/>
                <w:vertAlign w:val="subscript"/>
                <w:lang w:val="en-US" w:eastAsia="zh-CN" w:bidi="ar-SA"/>
              </w:rPr>
              <w:t>PH、</w:t>
            </w:r>
            <w:r>
              <w:rPr>
                <w:rFonts w:hint="eastAsia" w:ascii="Times New Roman" w:hAnsi="Times New Roman" w:eastAsia="宋体" w:cs="Times New Roman"/>
                <w:color w:val="auto"/>
                <w:kern w:val="2"/>
                <w:sz w:val="36"/>
                <w:szCs w:val="36"/>
                <w:vertAlign w:val="subscript"/>
                <w:lang w:val="en-US" w:eastAsia="zh-CN" w:bidi="ar-SA"/>
              </w:rPr>
              <w:t>色度、氨氮、无日化学需氧量、溶解性总固体、溶解氧、总大肠杆菌</w:t>
            </w:r>
          </w:p>
        </w:tc>
        <w:tc>
          <w:tcPr>
            <w:tcW w:w="711" w:type="pct"/>
            <w:vAlign w:val="center"/>
          </w:tcPr>
          <w:p>
            <w:pPr>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每天</w:t>
            </w:r>
            <w:r>
              <w:rPr>
                <w:rFonts w:hint="eastAsia" w:ascii="Times New Roman" w:hAnsi="Times New Roman" w:eastAsia="宋体" w:cs="Times New Roman"/>
                <w:color w:val="auto"/>
                <w:szCs w:val="21"/>
                <w:lang w:val="en-US" w:eastAsia="zh-CN"/>
              </w:rPr>
              <w:t>4</w:t>
            </w:r>
            <w:r>
              <w:rPr>
                <w:rFonts w:ascii="Times New Roman" w:hAnsi="Times New Roman" w:eastAsia="宋体" w:cs="Times New Roman"/>
                <w:color w:val="auto"/>
                <w:szCs w:val="21"/>
              </w:rPr>
              <w:t>次</w:t>
            </w:r>
            <w:r>
              <w:rPr>
                <w:rFonts w:hint="eastAsia" w:ascii="Times New Roman" w:hAnsi="Times New Roman" w:eastAsia="宋体" w:cs="Times New Roman"/>
                <w:color w:val="auto"/>
                <w:szCs w:val="21"/>
              </w:rPr>
              <w:t>，</w:t>
            </w:r>
            <w:r>
              <w:rPr>
                <w:rFonts w:ascii="Times New Roman" w:hAnsi="Times New Roman" w:eastAsia="宋体" w:cs="Times New Roman"/>
                <w:color w:val="auto"/>
                <w:szCs w:val="21"/>
              </w:rPr>
              <w:t>监测2天</w:t>
            </w:r>
          </w:p>
        </w:tc>
      </w:tr>
    </w:tbl>
    <w:p>
      <w:pPr>
        <w:pStyle w:val="146"/>
        <w:rPr>
          <w:rFonts w:hint="default" w:ascii="Times New Roman" w:hAnsi="Times New Roman" w:eastAsia="宋体"/>
          <w:color w:val="auto"/>
          <w:lang w:val="en-US" w:eastAsia="zh-CN"/>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4"/>
        <w:spacing w:beforeLines="50" w:afterLines="50" w:line="400" w:lineRule="exact"/>
        <w:rPr>
          <w:rFonts w:ascii="Times New Roman" w:hAnsi="Times New Roman" w:eastAsia="宋体"/>
          <w:color w:val="auto"/>
        </w:rPr>
      </w:pPr>
      <w:bookmarkStart w:id="118" w:name="_Toc9973"/>
      <w:r>
        <w:rPr>
          <w:rFonts w:hint="eastAsia" w:ascii="Times New Roman" w:hAnsi="Times New Roman" w:eastAsia="宋体"/>
          <w:color w:val="auto"/>
        </w:rPr>
        <w:t>7.</w:t>
      </w:r>
      <w:r>
        <w:rPr>
          <w:rFonts w:hint="eastAsia" w:ascii="Times New Roman" w:hAnsi="Times New Roman" w:eastAsia="宋体"/>
          <w:color w:val="auto"/>
          <w:lang w:val="en-US" w:eastAsia="zh-CN"/>
        </w:rPr>
        <w:t>2</w:t>
      </w:r>
      <w:r>
        <w:rPr>
          <w:rFonts w:hint="eastAsia" w:ascii="Times New Roman" w:hAnsi="Times New Roman" w:eastAsia="宋体"/>
          <w:color w:val="auto"/>
        </w:rPr>
        <w:t>监测布点图</w:t>
      </w:r>
      <w:bookmarkEnd w:id="116"/>
      <w:bookmarkEnd w:id="118"/>
    </w:p>
    <w:p>
      <w:pPr>
        <w:pStyle w:val="104"/>
        <w:ind w:firstLine="480"/>
        <w:rPr>
          <w:rFonts w:ascii="Times New Roman" w:hAnsi="Times New Roman" w:eastAsia="宋体"/>
          <w:b/>
          <w:color w:val="0000FF"/>
          <w:szCs w:val="21"/>
        </w:rPr>
      </w:pPr>
      <w:r>
        <w:rPr>
          <w:rFonts w:hint="eastAsia" w:ascii="Times New Roman" w:hAnsi="Times New Roman" w:eastAsia="宋体"/>
          <w:color w:val="auto"/>
        </w:rPr>
        <w:t>监测布点情况详见图</w:t>
      </w:r>
      <w:r>
        <w:rPr>
          <w:rFonts w:hint="eastAsia" w:ascii="Times New Roman" w:hAnsi="Times New Roman" w:eastAsia="宋体"/>
          <w:color w:val="0000FF"/>
        </w:rPr>
        <w:t>7.</w:t>
      </w:r>
      <w:r>
        <w:rPr>
          <w:rFonts w:hint="eastAsia" w:ascii="Times New Roman" w:hAnsi="Times New Roman" w:eastAsia="宋体"/>
          <w:color w:val="0000FF"/>
          <w:lang w:val="en-US" w:eastAsia="zh-CN"/>
        </w:rPr>
        <w:t>2</w:t>
      </w:r>
      <w:r>
        <w:rPr>
          <w:rFonts w:hint="eastAsia" w:ascii="Times New Roman" w:hAnsi="Times New Roman" w:eastAsia="宋体"/>
          <w:color w:val="0000FF"/>
        </w:rPr>
        <w:t>-1：</w:t>
      </w:r>
      <w:r>
        <w:rPr>
          <w:rFonts w:ascii="Times New Roman" w:hAnsi="Times New Roman" w:eastAsia="宋体"/>
          <w:b/>
          <w:color w:val="0000FF"/>
          <w:szCs w:val="21"/>
        </w:rPr>
        <w:t xml:space="preserve"> </w:t>
      </w:r>
    </w:p>
    <w:p>
      <w:pPr>
        <w:pStyle w:val="104"/>
        <w:spacing w:line="240" w:lineRule="auto"/>
        <w:ind w:firstLine="480"/>
        <w:jc w:val="center"/>
        <w:rPr>
          <w:rFonts w:hint="eastAsia" w:ascii="Times New Roman" w:hAnsi="Times New Roman" w:eastAsia="宋体"/>
          <w:b/>
          <w:color w:val="auto"/>
          <w:szCs w:val="21"/>
          <w:lang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1134110</wp:posOffset>
                </wp:positionH>
                <wp:positionV relativeFrom="paragraph">
                  <wp:posOffset>4466590</wp:posOffset>
                </wp:positionV>
                <wp:extent cx="139065" cy="100965"/>
                <wp:effectExtent l="12700" t="12700" r="19685" b="19685"/>
                <wp:wrapNone/>
                <wp:docPr id="20" name="菱形 20"/>
                <wp:cNvGraphicFramePr/>
                <a:graphic xmlns:a="http://schemas.openxmlformats.org/drawingml/2006/main">
                  <a:graphicData uri="http://schemas.microsoft.com/office/word/2010/wordprocessingShape">
                    <wps:wsp>
                      <wps:cNvSpPr/>
                      <wps:spPr>
                        <a:xfrm>
                          <a:off x="2112645" y="6144895"/>
                          <a:ext cx="139065" cy="10096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89.3pt;margin-top:351.7pt;height:7.95pt;width:10.95pt;z-index:251669504;v-text-anchor:middle;mso-width-relative:page;mso-height-relative:page;" fillcolor="#4F81BD [3204]" filled="t" stroked="t" coordsize="21600,21600" o:gfxdata="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XTTgtcAAAALAQAADwAAAAAA&#10;AAABACAAAAAiAAAAZHJzL2Rvd25yZXYueG1sUEsBAhQAFAAAAAgAh07iQCO4oDeGAgAADgUAAA4A&#10;AAAAAAAAAQAgAAAAJgEAAGRycy9lMm9Eb2MueG1sUEsFBgAAAAAGAAYAWQEAAB4GAAAAAA==&#10;">
                <v:fill on="t" focussize="0,0"/>
                <v:stroke weight="2pt" color="#385D8A [3204]" joinstyle="round"/>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6252210</wp:posOffset>
                </wp:positionH>
                <wp:positionV relativeFrom="paragraph">
                  <wp:posOffset>2130425</wp:posOffset>
                </wp:positionV>
                <wp:extent cx="920750" cy="266700"/>
                <wp:effectExtent l="4445" t="4445" r="8255" b="14605"/>
                <wp:wrapNone/>
                <wp:docPr id="24" name="文本框 24"/>
                <wp:cNvGraphicFramePr/>
                <a:graphic xmlns:a="http://schemas.openxmlformats.org/drawingml/2006/main">
                  <a:graphicData uri="http://schemas.microsoft.com/office/word/2010/wordprocessingShape">
                    <wps:wsp>
                      <wps:cNvSpPr txBox="1"/>
                      <wps:spPr>
                        <a:xfrm>
                          <a:off x="7116445" y="3776980"/>
                          <a:ext cx="920750" cy="266700"/>
                        </a:xfrm>
                        <a:prstGeom prst="rect">
                          <a:avLst/>
                        </a:prstGeom>
                        <a:solidFill>
                          <a:schemeClr val="lt1"/>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color w:val="auto"/>
                                <w:highlight w:val="darkCyan"/>
                                <w:lang w:val="en-US" w:eastAsia="zh-CN"/>
                              </w:rPr>
                              <w:t>生活污水监</w:t>
                            </w:r>
                            <w:r>
                              <w:rPr>
                                <w:rFonts w:hint="eastAsia"/>
                                <w:lang w:val="en-US" w:eastAsia="zh-CN"/>
                              </w:rPr>
                              <w:t>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2.3pt;margin-top:167.75pt;height:21pt;width:72.5pt;z-index:251672576;mso-width-relative:page;mso-height-relative:page;" fillcolor="#FFFFFF [3201]" filled="t" stroked="t" coordsize="21600,21600" o:gfxdata="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giklbdAAAADAEAAA8AAAAAAAAAAQAgAAAAIgAAAGRycy9kb3du&#10;cmV2LnhtbFBLAQIUABQAAAAIAIdO4kC2BoANbAIAAOIEAAAOAAAAAAAAAAEAIAAAACwBAABkcnMv&#10;ZTJvRG9jLnhtbFBLBQYAAAAABgAGAFkBAAAKBgAAAAA=&#10;">
                <v:fill on="t" focussize="0,0"/>
                <v:stroke weight="0.5pt" color="#000000 [3204]" opacity="0f" joinstyle="round"/>
                <v:imagedata o:title=""/>
                <o:lock v:ext="edit" aspectratio="f"/>
                <v:textbox>
                  <w:txbxContent>
                    <w:p>
                      <w:pPr>
                        <w:rPr>
                          <w:rFonts w:hint="default" w:eastAsiaTheme="minorEastAsia"/>
                          <w:lang w:val="en-US" w:eastAsia="zh-CN"/>
                        </w:rPr>
                      </w:pPr>
                      <w:r>
                        <w:rPr>
                          <w:rFonts w:hint="eastAsia"/>
                          <w:color w:val="auto"/>
                          <w:highlight w:val="darkCyan"/>
                          <w:lang w:val="en-US" w:eastAsia="zh-CN"/>
                        </w:rPr>
                        <w:t>生活污水监</w:t>
                      </w:r>
                      <w:r>
                        <w:rPr>
                          <w:rFonts w:hint="eastAsia"/>
                          <w:lang w:val="en-US" w:eastAsia="zh-CN"/>
                        </w:rPr>
                        <w:t>测点</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6068060</wp:posOffset>
                </wp:positionH>
                <wp:positionV relativeFrom="paragraph">
                  <wp:posOffset>2219960</wp:posOffset>
                </wp:positionV>
                <wp:extent cx="107950" cy="75565"/>
                <wp:effectExtent l="12700" t="12700" r="12700" b="26035"/>
                <wp:wrapNone/>
                <wp:docPr id="23" name="平行四边形 23"/>
                <wp:cNvGraphicFramePr/>
                <a:graphic xmlns:a="http://schemas.openxmlformats.org/drawingml/2006/main">
                  <a:graphicData uri="http://schemas.microsoft.com/office/word/2010/wordprocessingShape">
                    <wps:wsp>
                      <wps:cNvSpPr/>
                      <wps:spPr>
                        <a:xfrm>
                          <a:off x="7002145" y="3790315"/>
                          <a:ext cx="107950" cy="75565"/>
                        </a:xfrm>
                        <a:prstGeom prst="parallelogram">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477.8pt;margin-top:174.8pt;height:5.95pt;width:8.5pt;z-index:251671552;v-text-anchor:middle;mso-width-relative:page;mso-height-relative:page;" fillcolor="#4F81BD [3204]" filled="t" stroked="t" coordsize="21600,21600" o:gfxdata="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JtbEeXbAAAACwEAAA8AAAAAAAAAAQAgAAAAIgAAAGRycy9kb3ducmV2LnhtbFBLAQIUABQA&#10;AAAIAIdO4kB++WjgmAIAABwFAAAOAAAAAAAAAAEAIAAAACoBAABkcnMvZTJvRG9jLnhtbFBLBQYA&#10;AAAABgAGAFkBAAA0BgAAAAA=&#10;" adj="3780">
                <v:fill on="t" focussize="0,0"/>
                <v:stroke weight="2pt" color="#385D8A [3204]" joinstyle="round"/>
                <v:imagedata o:title=""/>
                <o:lock v:ext="edit" aspectratio="f"/>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1369060</wp:posOffset>
                </wp:positionH>
                <wp:positionV relativeFrom="paragraph">
                  <wp:posOffset>4371340</wp:posOffset>
                </wp:positionV>
                <wp:extent cx="1346200" cy="285750"/>
                <wp:effectExtent l="0" t="0" r="6350" b="0"/>
                <wp:wrapNone/>
                <wp:docPr id="22" name="文本框 22"/>
                <wp:cNvGraphicFramePr/>
                <a:graphic xmlns:a="http://schemas.openxmlformats.org/drawingml/2006/main">
                  <a:graphicData uri="http://schemas.microsoft.com/office/word/2010/wordprocessingShape">
                    <wps:wsp>
                      <wps:cNvSpPr txBox="1"/>
                      <wps:spPr>
                        <a:xfrm>
                          <a:off x="2233295" y="6094095"/>
                          <a:ext cx="134620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lang w:val="en-US" w:eastAsia="zh-CN"/>
                              </w:rPr>
                            </w:pPr>
                            <w:r>
                              <w:rPr>
                                <w:rFonts w:hint="eastAsia"/>
                                <w:b/>
                                <w:bCs/>
                                <w:lang w:val="en-US" w:eastAsia="zh-CN"/>
                              </w:rPr>
                              <w:t>生活污水监点测点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8pt;margin-top:344.2pt;height:22.5pt;width:106pt;z-index:251670528;mso-width-relative:page;mso-height-relative:page;" fillcolor="#FFFFFF [3201]" filled="t" stroked="f" coordsize="21600,21600" o:gfxdata="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l6c&#10;M9cAAAALAQAADwAAAAAAAAABACAAAAAiAAAAZHJzL2Rvd25yZXYueG1sUEsBAhQAFAAAAAgAh07i&#10;QOT0XoNcAgAAnQQAAA4AAAAAAAAAAQAgAAAAJgEAAGRycy9lMm9Eb2MueG1sUEsFBgAAAAAGAAYA&#10;WQEAAPQFAAAAAA==&#10;">
                <v:fill on="t" focussize="0,0"/>
                <v:stroke on="f" weight="0.5pt"/>
                <v:imagedata o:title=""/>
                <o:lock v:ext="edit" aspectratio="f"/>
                <v:textbox>
                  <w:txbxContent>
                    <w:p>
                      <w:pPr>
                        <w:rPr>
                          <w:rFonts w:hint="default" w:eastAsiaTheme="minorEastAsia"/>
                          <w:b/>
                          <w:bCs/>
                          <w:lang w:val="en-US" w:eastAsia="zh-CN"/>
                        </w:rPr>
                      </w:pPr>
                      <w:r>
                        <w:rPr>
                          <w:rFonts w:hint="eastAsia"/>
                          <w:b/>
                          <w:bCs/>
                          <w:lang w:val="en-US" w:eastAsia="zh-CN"/>
                        </w:rPr>
                        <w:t>生活污水监点测点</w:t>
                      </w:r>
                    </w:p>
                  </w:txbxContent>
                </v:textbox>
              </v:shape>
            </w:pict>
          </mc:Fallback>
        </mc:AlternateContent>
      </w:r>
      <w:r>
        <w:rPr>
          <w:rFonts w:hint="eastAsia" w:ascii="Times New Roman" w:hAnsi="Times New Roman" w:eastAsia="宋体"/>
          <w:b/>
          <w:color w:val="auto"/>
          <w:szCs w:val="21"/>
          <w:lang w:eastAsia="zh-CN"/>
        </w:rPr>
        <w:drawing>
          <wp:inline distT="0" distB="0" distL="114300" distR="114300">
            <wp:extent cx="7759065" cy="4674235"/>
            <wp:effectExtent l="0" t="0" r="13335" b="12065"/>
            <wp:docPr id="26" name="图片 26"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6"/>
                    <pic:cNvPicPr>
                      <a:picLocks noChangeAspect="1"/>
                    </pic:cNvPicPr>
                  </pic:nvPicPr>
                  <pic:blipFill>
                    <a:blip r:embed="rId27"/>
                    <a:srcRect b="4477"/>
                    <a:stretch>
                      <a:fillRect/>
                    </a:stretch>
                  </pic:blipFill>
                  <pic:spPr>
                    <a:xfrm>
                      <a:off x="0" y="0"/>
                      <a:ext cx="7759065" cy="4674235"/>
                    </a:xfrm>
                    <a:prstGeom prst="rect">
                      <a:avLst/>
                    </a:prstGeom>
                  </pic:spPr>
                </pic:pic>
              </a:graphicData>
            </a:graphic>
          </wp:inline>
        </w:drawing>
      </w:r>
      <w:r>
        <w:rPr>
          <w:rFonts w:ascii="Times New Roman" w:hAnsi="Times New Roman" w:eastAsia="宋体"/>
          <w:sz w:val="24"/>
        </w:rPr>
        <mc:AlternateContent>
          <mc:Choice Requires="wps">
            <w:drawing>
              <wp:anchor distT="0" distB="0" distL="114300" distR="114300" simplePos="0" relativeHeight="251668480" behindDoc="0" locked="0" layoutInCell="1" allowOverlap="1">
                <wp:simplePos x="0" y="0"/>
                <wp:positionH relativeFrom="column">
                  <wp:posOffset>5549900</wp:posOffset>
                </wp:positionH>
                <wp:positionV relativeFrom="paragraph">
                  <wp:posOffset>1880235</wp:posOffset>
                </wp:positionV>
                <wp:extent cx="1217930" cy="291465"/>
                <wp:effectExtent l="0" t="0" r="0" b="0"/>
                <wp:wrapNone/>
                <wp:docPr id="45" name="文本框 18"/>
                <wp:cNvGraphicFramePr/>
                <a:graphic xmlns:a="http://schemas.openxmlformats.org/drawingml/2006/main">
                  <a:graphicData uri="http://schemas.microsoft.com/office/word/2010/wordprocessingShape">
                    <wps:wsp>
                      <wps:cNvSpPr txBox="1"/>
                      <wps:spPr>
                        <a:xfrm>
                          <a:off x="0" y="0"/>
                          <a:ext cx="1217930" cy="291465"/>
                        </a:xfrm>
                        <a:prstGeom prst="rect">
                          <a:avLst/>
                        </a:prstGeom>
                        <a:noFill/>
                        <a:ln>
                          <a:noFill/>
                        </a:ln>
                      </wps:spPr>
                      <wps:txbx>
                        <w:txbxContent>
                          <w:p>
                            <w:pPr>
                              <w:rPr>
                                <w:rFonts w:hint="eastAsia" w:eastAsiaTheme="minorEastAsia"/>
                                <w:color w:val="auto"/>
                                <w:highlight w:val="yellow"/>
                                <w:lang w:eastAsia="zh-CN"/>
                              </w:rPr>
                            </w:pPr>
                            <w:r>
                              <w:rPr>
                                <w:rFonts w:hint="eastAsia"/>
                                <w:color w:val="auto"/>
                                <w:highlight w:val="yellow"/>
                                <w:lang w:eastAsia="zh-CN"/>
                              </w:rPr>
                              <w:t>厂房窗户监控点</w:t>
                            </w:r>
                          </w:p>
                        </w:txbxContent>
                      </wps:txbx>
                      <wps:bodyPr upright="1"/>
                    </wps:wsp>
                  </a:graphicData>
                </a:graphic>
              </wp:anchor>
            </w:drawing>
          </mc:Choice>
          <mc:Fallback>
            <w:pict>
              <v:shape id="文本框 18" o:spid="_x0000_s1026" o:spt="202" type="#_x0000_t202" style="position:absolute;left:0pt;margin-left:437pt;margin-top:148.05pt;height:22.95pt;width:95.9pt;z-index:251668480;mso-width-relative:page;mso-height-relative:page;" filled="f" stroked="f" coordsize="21600,21600" o:gfxdata="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Md/9&#10;XdkAAAAMAQAADwAAAAAAAAABACAAAAAiAAAAZHJzL2Rvd25yZXYueG1sUEsBAhQAFAAAAAgAh07i&#10;QBmAu9SvAQAAUAMAAA4AAAAAAAAAAQAgAAAAKAEAAGRycy9lMm9Eb2MueG1sUEsFBgAAAAAGAAYA&#10;WQEAAEkFAAAAAA==&#10;">
                <v:fill on="f" focussize="0,0"/>
                <v:stroke on="f"/>
                <v:imagedata o:title=""/>
                <o:lock v:ext="edit" aspectratio="f"/>
                <v:textbox>
                  <w:txbxContent>
                    <w:p>
                      <w:pPr>
                        <w:rPr>
                          <w:rFonts w:hint="eastAsia" w:eastAsiaTheme="minorEastAsia"/>
                          <w:color w:val="auto"/>
                          <w:highlight w:val="yellow"/>
                          <w:lang w:eastAsia="zh-CN"/>
                        </w:rPr>
                      </w:pPr>
                      <w:r>
                        <w:rPr>
                          <w:rFonts w:hint="eastAsia"/>
                          <w:color w:val="auto"/>
                          <w:highlight w:val="yellow"/>
                          <w:lang w:eastAsia="zh-CN"/>
                        </w:rPr>
                        <w:t>厂房窗户监控点</w:t>
                      </w:r>
                    </w:p>
                  </w:txbxContent>
                </v:textbox>
              </v:shape>
            </w:pict>
          </mc:Fallback>
        </mc:AlternateContent>
      </w:r>
      <w:r>
        <w:rPr>
          <w:rFonts w:ascii="Times New Roman" w:hAnsi="Times New Roman" w:eastAsia="宋体"/>
          <w:sz w:val="24"/>
        </w:rPr>
        <mc:AlternateContent>
          <mc:Choice Requires="wps">
            <w:drawing>
              <wp:anchor distT="0" distB="0" distL="114300" distR="114300" simplePos="0" relativeHeight="251667456" behindDoc="0" locked="0" layoutInCell="1" allowOverlap="1">
                <wp:simplePos x="0" y="0"/>
                <wp:positionH relativeFrom="column">
                  <wp:posOffset>6302375</wp:posOffset>
                </wp:positionH>
                <wp:positionV relativeFrom="paragraph">
                  <wp:posOffset>2357120</wp:posOffset>
                </wp:positionV>
                <wp:extent cx="107950" cy="107950"/>
                <wp:effectExtent l="4445" t="4445" r="20955" b="20955"/>
                <wp:wrapNone/>
                <wp:docPr id="44" name="椭圆 1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17" o:spid="_x0000_s1026" o:spt="3" type="#_x0000_t3" style="position:absolute;left:0pt;margin-left:496.25pt;margin-top:185.6pt;height:8.5pt;width:8.5pt;z-index:251667456;mso-width-relative:page;mso-height-relative:page;" fillcolor="#FFFF00" filled="t" stroked="t" coordsize="21600,21600" o:gfxdata="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zn+gNkAAAAMAQAADwAAAAAAAAABACAAAAAiAAAAZHJzL2Rvd25yZXYu&#10;eG1sUEsBAhQAFAAAAAgAh07iQIWmI1b6AQAAGAQAAA4AAAAAAAAAAQAgAAAAKAEAAGRycy9lMm9E&#10;b2MueG1sUEsFBgAAAAAGAAYAWQEAAJQFAAAAAA==&#10;">
                <v:fill on="t" focussize="0,0"/>
                <v:stroke color="#000000" joinstyle="round"/>
                <v:imagedata o:title=""/>
                <o:lock v:ext="edit" aspectratio="f"/>
              </v:shape>
            </w:pict>
          </mc:Fallback>
        </mc:AlternateContent>
      </w:r>
    </w:p>
    <w:p>
      <w:pPr>
        <w:pStyle w:val="104"/>
        <w:spacing w:line="240" w:lineRule="auto"/>
        <w:ind w:firstLine="480"/>
        <w:jc w:val="center"/>
        <w:rPr>
          <w:rFonts w:hint="eastAsia" w:ascii="Times New Roman" w:hAnsi="Times New Roman" w:eastAsia="宋体"/>
          <w:b/>
          <w:color w:val="auto"/>
          <w:sz w:val="21"/>
          <w:szCs w:val="21"/>
          <w:lang w:val="en-US" w:eastAsia="zh-CN"/>
        </w:rPr>
        <w:sectPr>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b/>
          <w:color w:val="auto"/>
          <w:sz w:val="21"/>
          <w:szCs w:val="21"/>
          <w:lang w:eastAsia="zh-CN"/>
        </w:rPr>
        <w:t>图</w:t>
      </w:r>
      <w:r>
        <w:rPr>
          <w:rFonts w:hint="eastAsia" w:ascii="Times New Roman" w:hAnsi="Times New Roman" w:eastAsia="宋体"/>
          <w:b/>
          <w:color w:val="auto"/>
          <w:sz w:val="21"/>
          <w:szCs w:val="21"/>
          <w:lang w:val="en-US" w:eastAsia="zh-CN"/>
        </w:rPr>
        <w:t>7.2-1  监测点位示意图</w:t>
      </w: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hint="eastAsia" w:ascii="Times New Roman" w:hAnsi="Times New Roman" w:eastAsia="宋体"/>
          <w:color w:val="auto"/>
        </w:rPr>
      </w:pPr>
      <w:bookmarkStart w:id="119" w:name="_Toc22032"/>
      <w:r>
        <w:rPr>
          <w:rFonts w:hint="eastAsia" w:ascii="Times New Roman" w:hAnsi="Times New Roman" w:eastAsia="宋体"/>
          <w:color w:val="auto"/>
        </w:rPr>
        <mc:AlternateContent>
          <mc:Choice Requires="wps">
            <w:drawing>
              <wp:anchor distT="0" distB="0" distL="114300" distR="114300" simplePos="0" relativeHeight="251660288" behindDoc="0" locked="0" layoutInCell="1" allowOverlap="1">
                <wp:simplePos x="0" y="0"/>
                <wp:positionH relativeFrom="column">
                  <wp:posOffset>7680960</wp:posOffset>
                </wp:positionH>
                <wp:positionV relativeFrom="paragraph">
                  <wp:posOffset>-4575810</wp:posOffset>
                </wp:positionV>
                <wp:extent cx="681990" cy="289560"/>
                <wp:effectExtent l="0" t="0" r="0" b="0"/>
                <wp:wrapNone/>
                <wp:docPr id="42" name="Text Box 707"/>
                <wp:cNvGraphicFramePr/>
                <a:graphic xmlns:a="http://schemas.openxmlformats.org/drawingml/2006/main">
                  <a:graphicData uri="http://schemas.microsoft.com/office/word/2010/wordprocessingShape">
                    <wps:wsp>
                      <wps:cNvSpPr txBox="1">
                        <a:spLocks noChangeArrowheads="1"/>
                      </wps:cNvSpPr>
                      <wps:spPr bwMode="auto">
                        <a:xfrm>
                          <a:off x="0" y="0"/>
                          <a:ext cx="681990" cy="289560"/>
                        </a:xfrm>
                        <a:prstGeom prst="rect">
                          <a:avLst/>
                        </a:prstGeom>
                        <a:solidFill>
                          <a:srgbClr val="FFFFFF">
                            <a:alpha val="0"/>
                          </a:srgbClr>
                        </a:solidFill>
                        <a:ln>
                          <a:noFill/>
                        </a:ln>
                        <a:effectLst/>
                      </wps:spPr>
                      <wps:txbx>
                        <w:txbxContent>
                          <w:p>
                            <w:r>
                              <w:rPr>
                                <w:rFonts w:hint="eastAsia" w:cs="Times New Roman" w:asciiTheme="minorEastAsia" w:hAnsiTheme="minorEastAsia"/>
                              </w:rPr>
                              <w:t>◎</w:t>
                            </w:r>
                            <w:r>
                              <w:rPr>
                                <w:rFonts w:hint="eastAsia" w:ascii="Times New Roman" w:cs="Times New Roman"/>
                                <w:b/>
                              </w:rPr>
                              <w:t>Y3</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707" o:spid="_x0000_s1026" o:spt="202" type="#_x0000_t202" style="position:absolute;left:0pt;margin-left:604.8pt;margin-top:-360.3pt;height:22.8pt;width:53.7pt;z-index:251660288;mso-width-relative:page;mso-height-relative:margin;mso-height-percent:200;" fillcolor="#FFFFFF" filled="t" stroked="f" coordsize="21600,21600" o:gfxdata="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7AIO62QAAAA8BAAAPAAAAAAAAAAEAIAAAACIAAABkcnMvZG93bnJldi54bWxQSwEC&#10;FAAUAAAACACHTuJAp6lQJywCAABqBAAADgAAAAAAAAABACAAAAAoAQAAZHJzL2Uyb0RvYy54bWxQ&#10;SwUGAAAAAAYABgBZAQAAxgUAAAAA&#10;">
                <v:fill on="t" opacity="0f" focussize="0,0"/>
                <v:stroke on="f"/>
                <v:imagedata o:title=""/>
                <o:lock v:ext="edit" aspectratio="f"/>
                <v:textbox style="mso-fit-shape-to-text:t;">
                  <w:txbxContent>
                    <w:p>
                      <w:r>
                        <w:rPr>
                          <w:rFonts w:hint="eastAsia" w:cs="Times New Roman" w:asciiTheme="minorEastAsia" w:hAnsiTheme="minorEastAsia"/>
                        </w:rPr>
                        <w:t>◎</w:t>
                      </w:r>
                      <w:r>
                        <w:rPr>
                          <w:rFonts w:hint="eastAsia" w:ascii="Times New Roman" w:cs="Times New Roman"/>
                          <w:b/>
                        </w:rPr>
                        <w:t>Y3</w:t>
                      </w:r>
                    </w:p>
                  </w:txbxContent>
                </v:textbox>
              </v:shape>
            </w:pict>
          </mc:Fallback>
        </mc:AlternateContent>
      </w:r>
      <w:r>
        <w:rPr>
          <w:rFonts w:hint="eastAsia" w:ascii="Times New Roman" w:hAnsi="Times New Roman" w:eastAsia="宋体"/>
          <w:color w:val="auto"/>
        </w:rPr>
        <mc:AlternateContent>
          <mc:Choice Requires="wps">
            <w:drawing>
              <wp:anchor distT="0" distB="0" distL="114300" distR="114300" simplePos="0" relativeHeight="251659264" behindDoc="0" locked="0" layoutInCell="1" allowOverlap="1">
                <wp:simplePos x="0" y="0"/>
                <wp:positionH relativeFrom="column">
                  <wp:posOffset>7680325</wp:posOffset>
                </wp:positionH>
                <wp:positionV relativeFrom="paragraph">
                  <wp:posOffset>-2741930</wp:posOffset>
                </wp:positionV>
                <wp:extent cx="681990" cy="289560"/>
                <wp:effectExtent l="0" t="0" r="0" b="0"/>
                <wp:wrapNone/>
                <wp:docPr id="41" name="Text Box 698"/>
                <wp:cNvGraphicFramePr/>
                <a:graphic xmlns:a="http://schemas.openxmlformats.org/drawingml/2006/main">
                  <a:graphicData uri="http://schemas.microsoft.com/office/word/2010/wordprocessingShape">
                    <wps:wsp>
                      <wps:cNvSpPr txBox="1">
                        <a:spLocks noChangeArrowheads="1"/>
                      </wps:cNvSpPr>
                      <wps:spPr bwMode="auto">
                        <a:xfrm>
                          <a:off x="0" y="0"/>
                          <a:ext cx="681990" cy="289560"/>
                        </a:xfrm>
                        <a:prstGeom prst="rect">
                          <a:avLst/>
                        </a:prstGeom>
                        <a:solidFill>
                          <a:srgbClr val="FFFFFF">
                            <a:alpha val="0"/>
                          </a:srgbClr>
                        </a:solidFill>
                        <a:ln>
                          <a:noFill/>
                        </a:ln>
                        <a:effectLst/>
                      </wps:spPr>
                      <wps:txbx>
                        <w:txbxContent>
                          <w:p>
                            <w:r>
                              <w:rPr>
                                <w:rFonts w:hint="eastAsia" w:cs="Times New Roman" w:asciiTheme="minorEastAsia" w:hAnsiTheme="minorEastAsia"/>
                                <w:b/>
                              </w:rPr>
                              <w:t>▲</w:t>
                            </w:r>
                            <w:r>
                              <w:rPr>
                                <w:rFonts w:hint="eastAsia" w:ascii="Times New Roman" w:cs="Times New Roman"/>
                                <w:b/>
                              </w:rPr>
                              <w:t>N2</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698" o:spid="_x0000_s1026" o:spt="202" type="#_x0000_t202" style="position:absolute;left:0pt;margin-left:604.75pt;margin-top:-215.9pt;height:22.8pt;width:53.7pt;z-index:251659264;mso-width-relative:page;mso-height-relative:margin;mso-height-percent:200;" fillcolor="#FFFFFF" filled="t" stroked="f" coordsize="21600,21600" o:gfxdata="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9WtTH2QAAAA8BAAAPAAAAAAAAAAEAIAAAACIAAABkcnMvZG93bnJldi54bWxQSwEC&#10;FAAUAAAACACHTuJAGSlKgSwCAABqBAAADgAAAAAAAAABACAAAAAoAQAAZHJzL2Uyb0RvYy54bWxQ&#10;SwUGAAAAAAYABgBZAQAAxgUAAAAA&#10;">
                <v:fill on="t" opacity="0f" focussize="0,0"/>
                <v:stroke on="f"/>
                <v:imagedata o:title=""/>
                <o:lock v:ext="edit" aspectratio="f"/>
                <v:textbox style="mso-fit-shape-to-text:t;">
                  <w:txbxContent>
                    <w:p>
                      <w:r>
                        <w:rPr>
                          <w:rFonts w:hint="eastAsia" w:cs="Times New Roman" w:asciiTheme="minorEastAsia" w:hAnsiTheme="minorEastAsia"/>
                          <w:b/>
                        </w:rPr>
                        <w:t>▲</w:t>
                      </w:r>
                      <w:r>
                        <w:rPr>
                          <w:rFonts w:hint="eastAsia" w:ascii="Times New Roman" w:cs="Times New Roman"/>
                          <w:b/>
                        </w:rPr>
                        <w:t>N2</w:t>
                      </w:r>
                    </w:p>
                  </w:txbxContent>
                </v:textbox>
              </v:shape>
            </w:pict>
          </mc:Fallback>
        </mc:AlternateContent>
      </w:r>
      <w:bookmarkStart w:id="120" w:name="_Toc507454886"/>
      <w:r>
        <w:rPr>
          <w:rFonts w:hint="eastAsia" w:ascii="Times New Roman" w:hAnsi="Times New Roman" w:eastAsia="宋体"/>
          <w:color w:val="auto"/>
        </w:rPr>
        <w:t>八、质量保证及质量控制</w:t>
      </w:r>
      <w:bookmarkEnd w:id="119"/>
      <w:bookmarkEnd w:id="120"/>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bookmarkStart w:id="121" w:name="_Toc507454887"/>
      <w:r>
        <w:rPr>
          <w:rFonts w:ascii="Times New Roman" w:hAnsi="Times New Roman" w:eastAsia="宋体"/>
          <w:color w:val="auto"/>
        </w:rPr>
        <w:t>本次验收监测采样及样品分析均严格按照《环境水质监测质量保证手册》（第四版）、《环境空气监测质量保证手册》及《环境监测技术规范》等要求进行，实施全程序质量控制。具体质控要求如下：</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kern w:val="44"/>
        </w:rPr>
        <w:t>1、</w:t>
      </w:r>
      <w:r>
        <w:rPr>
          <w:rFonts w:ascii="Times New Roman" w:hAnsi="Times New Roman" w:eastAsia="宋体"/>
          <w:color w:val="auto"/>
        </w:rPr>
        <w:t>生产处于正常。监测期间生产稳定运行，各污染治理设施运行基本正常。</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2</w:t>
      </w:r>
      <w:r>
        <w:rPr>
          <w:rFonts w:ascii="Times New Roman" w:hAnsi="Times New Roman" w:eastAsia="宋体"/>
          <w:b/>
          <w:color w:val="auto"/>
          <w:kern w:val="44"/>
        </w:rPr>
        <w:t>、</w:t>
      </w:r>
      <w:r>
        <w:rPr>
          <w:rFonts w:ascii="Times New Roman" w:hAnsi="Times New Roman" w:eastAsia="宋体"/>
          <w:color w:val="auto"/>
        </w:rPr>
        <w:t>合理布设监测点位</w:t>
      </w:r>
      <w:r>
        <w:rPr>
          <w:rFonts w:hint="eastAsia" w:ascii="Times New Roman" w:hAnsi="Times New Roman" w:eastAsia="宋体"/>
          <w:color w:val="auto"/>
        </w:rPr>
        <w:t>，</w:t>
      </w:r>
      <w:r>
        <w:rPr>
          <w:rFonts w:ascii="Times New Roman" w:hAnsi="Times New Roman" w:eastAsia="宋体"/>
          <w:color w:val="auto"/>
        </w:rPr>
        <w:t>保证各监测点位布设的科学性和可比性。</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3、监测分析方法采用国家颁布标准（或推荐）分析方法，监测人员</w:t>
      </w:r>
      <w:r>
        <w:rPr>
          <w:rFonts w:hint="eastAsia" w:ascii="Times New Roman" w:hAnsi="Times New Roman" w:eastAsia="宋体"/>
          <w:color w:val="auto"/>
        </w:rPr>
        <w:t>均持证上岗</w:t>
      </w:r>
      <w:r>
        <w:rPr>
          <w:rFonts w:ascii="Times New Roman" w:hAnsi="Times New Roman" w:eastAsia="宋体"/>
          <w:color w:val="auto"/>
        </w:rPr>
        <w:t>，所有监测仪器经过计量部门检定并在有效期内。</w:t>
      </w:r>
    </w:p>
    <w:p>
      <w:pPr>
        <w:pStyle w:val="105"/>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rPr>
      </w:pPr>
      <w:r>
        <w:rPr>
          <w:rFonts w:ascii="Times New Roman" w:hAnsi="Times New Roman" w:eastAsia="宋体"/>
          <w:color w:val="auto"/>
        </w:rPr>
        <w:t>4</w:t>
      </w:r>
      <w:r>
        <w:rPr>
          <w:rFonts w:hint="eastAsia" w:ascii="Times New Roman" w:hAnsi="Times New Roman" w:eastAsia="宋体"/>
          <w:color w:val="auto"/>
        </w:rPr>
        <w:t>、</w:t>
      </w:r>
      <w:r>
        <w:rPr>
          <w:rFonts w:ascii="Times New Roman" w:hAnsi="Times New Roman" w:eastAsia="宋体"/>
          <w:color w:val="auto"/>
        </w:rPr>
        <w:t>监测数据严格实行三级审核制度。</w:t>
      </w:r>
    </w:p>
    <w:p>
      <w:pPr>
        <w:pStyle w:val="4"/>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ascii="Times New Roman" w:hAnsi="Times New Roman" w:eastAsia="宋体"/>
          <w:color w:val="auto"/>
        </w:rPr>
      </w:pPr>
      <w:bookmarkStart w:id="122" w:name="_Toc5535"/>
      <w:r>
        <w:rPr>
          <w:rFonts w:ascii="Times New Roman" w:hAnsi="Times New Roman" w:eastAsia="宋体"/>
          <w:color w:val="auto"/>
        </w:rPr>
        <w:t>8.1</w:t>
      </w:r>
      <w:r>
        <w:rPr>
          <w:rFonts w:hint="eastAsia" w:ascii="Times New Roman" w:hAnsi="Times New Roman" w:eastAsia="宋体"/>
          <w:color w:val="auto"/>
        </w:rPr>
        <w:t>监测分析方法</w:t>
      </w:r>
      <w:bookmarkEnd w:id="121"/>
      <w:bookmarkEnd w:id="122"/>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监测分析方法详见表8.1-1：</w:t>
      </w:r>
    </w:p>
    <w:p>
      <w:pPr>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 xml:space="preserve">表8.1-1 </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监测</w:t>
      </w:r>
      <w:r>
        <w:rPr>
          <w:rFonts w:ascii="Times New Roman" w:hAnsi="Times New Roman" w:eastAsia="宋体" w:cs="Times New Roman"/>
          <w:b/>
          <w:color w:val="auto"/>
          <w:szCs w:val="21"/>
        </w:rPr>
        <w:t>分析方法一览表</w:t>
      </w:r>
    </w:p>
    <w:tbl>
      <w:tblPr>
        <w:tblStyle w:val="30"/>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301"/>
        <w:gridCol w:w="3270"/>
        <w:gridCol w:w="2561"/>
        <w:gridCol w:w="1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right="0"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301" w:type="dxa"/>
            <w:noWrap w:val="0"/>
            <w:vAlign w:val="center"/>
          </w:tcPr>
          <w:p>
            <w:pPr>
              <w:pStyle w:val="101"/>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270" w:type="dxa"/>
            <w:noWrap w:val="0"/>
            <w:vAlign w:val="center"/>
          </w:tcPr>
          <w:p>
            <w:pPr>
              <w:pStyle w:val="101"/>
              <w:ind w:right="122"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2561" w:type="dxa"/>
            <w:noWrap w:val="0"/>
            <w:vAlign w:val="center"/>
          </w:tcPr>
          <w:p>
            <w:pPr>
              <w:pStyle w:val="101"/>
              <w:ind w:right="186"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22" w:type="dxa"/>
            <w:noWrap w:val="0"/>
            <w:vAlign w:val="center"/>
          </w:tcPr>
          <w:p>
            <w:pPr>
              <w:pStyle w:val="101"/>
              <w:ind w:right="358"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 xml:space="preserve">  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1</w:t>
            </w:r>
          </w:p>
        </w:tc>
        <w:tc>
          <w:tcPr>
            <w:tcW w:w="1301"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pH</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2</w:t>
            </w:r>
          </w:p>
        </w:tc>
        <w:tc>
          <w:tcPr>
            <w:tcW w:w="1301"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色度</w:t>
            </w:r>
          </w:p>
        </w:tc>
        <w:tc>
          <w:tcPr>
            <w:tcW w:w="3270" w:type="dxa"/>
            <w:noWrap w:val="0"/>
            <w:vAlign w:val="center"/>
          </w:tcPr>
          <w:p>
            <w:pPr>
              <w:widowControl/>
              <w:spacing w:line="300" w:lineRule="exact"/>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水质 色度的测定 稀释倍数法</w:t>
            </w:r>
          </w:p>
        </w:tc>
        <w:tc>
          <w:tcPr>
            <w:tcW w:w="2561" w:type="dxa"/>
            <w:noWrap w:val="0"/>
            <w:vAlign w:val="center"/>
          </w:tcPr>
          <w:p>
            <w:pPr>
              <w:widowControl/>
              <w:jc w:val="center"/>
              <w:textAlignment w:val="center"/>
              <w:rPr>
                <w:rFonts w:hint="eastAsia" w:ascii="宋体" w:hAnsi="宋体" w:eastAsia="宋体" w:cs="宋体"/>
                <w:color w:val="000000"/>
                <w:kern w:val="0"/>
                <w:sz w:val="21"/>
                <w:szCs w:val="21"/>
                <w:lang w:val="en-US" w:eastAsia="zh-CN" w:bidi="ar"/>
              </w:rPr>
            </w:pPr>
            <w:r>
              <w:rPr>
                <w:rFonts w:hint="eastAsia" w:ascii="宋体" w:hAnsi="宋体" w:eastAsia="宋体" w:cs="宋体"/>
                <w:sz w:val="21"/>
                <w:szCs w:val="21"/>
              </w:rPr>
              <w:t>HJ 1182-2021</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2倍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3</w:t>
            </w:r>
          </w:p>
        </w:tc>
        <w:tc>
          <w:tcPr>
            <w:tcW w:w="1301"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溶解性总固体</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生活饮用水标准检验方法 感官性状和物理指标</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lang w:val="en-US" w:eastAsia="zh-CN"/>
              </w:rPr>
              <w:t>称量法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GB/T5750.4-2006</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Style w:val="120"/>
                <w:rFonts w:hint="eastAsia" w:ascii="宋体" w:hAnsi="宋体" w:eastAsia="宋体" w:cs="宋体"/>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w:t>
            </w:r>
          </w:p>
        </w:tc>
        <w:tc>
          <w:tcPr>
            <w:tcW w:w="1301"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溶解氧</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溶解氧的测定 电化学探头法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HJ506-2009</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5</w:t>
            </w:r>
          </w:p>
        </w:tc>
        <w:tc>
          <w:tcPr>
            <w:tcW w:w="1301" w:type="dxa"/>
            <w:noWrap w:val="0"/>
            <w:vAlign w:val="center"/>
          </w:tcPr>
          <w:p>
            <w:pPr>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总大肠菌群</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Style w:val="120"/>
                <w:rFonts w:hint="eastAsia" w:ascii="宋体" w:hAnsi="宋体" w:eastAsia="宋体" w:cs="宋体"/>
                <w:sz w:val="21"/>
                <w:szCs w:val="21"/>
              </w:rPr>
              <w:t>水质</w:t>
            </w:r>
            <w:r>
              <w:rPr>
                <w:rStyle w:val="120"/>
                <w:rFonts w:hint="eastAsia" w:ascii="宋体" w:hAnsi="宋体" w:eastAsia="宋体" w:cs="宋体"/>
                <w:sz w:val="21"/>
                <w:szCs w:val="21"/>
                <w:lang w:val="en-US" w:eastAsia="zh-CN"/>
              </w:rPr>
              <w:t xml:space="preserve"> </w:t>
            </w:r>
            <w:r>
              <w:rPr>
                <w:rStyle w:val="120"/>
                <w:rFonts w:hint="eastAsia" w:ascii="宋体" w:hAnsi="宋体" w:eastAsia="宋体" w:cs="宋体"/>
                <w:sz w:val="21"/>
                <w:szCs w:val="21"/>
              </w:rPr>
              <w:t>粪大肠菌群的测定</w:t>
            </w:r>
            <w:r>
              <w:rPr>
                <w:rStyle w:val="120"/>
                <w:rFonts w:hint="eastAsia" w:ascii="宋体" w:hAnsi="宋体" w:eastAsia="宋体" w:cs="宋体"/>
                <w:sz w:val="21"/>
                <w:szCs w:val="21"/>
                <w:lang w:val="en-US" w:eastAsia="zh-CN"/>
              </w:rPr>
              <w:t xml:space="preserve"> </w:t>
            </w:r>
            <w:r>
              <w:rPr>
                <w:rStyle w:val="120"/>
                <w:rFonts w:hint="eastAsia" w:ascii="宋体" w:hAnsi="宋体" w:eastAsia="宋体" w:cs="宋体"/>
                <w:sz w:val="21"/>
                <w:szCs w:val="21"/>
              </w:rPr>
              <w:t>多管发酵法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Style w:val="119"/>
                <w:rFonts w:hint="eastAsia" w:ascii="宋体" w:hAnsi="宋体" w:eastAsia="宋体" w:cs="宋体"/>
                <w:sz w:val="21"/>
                <w:szCs w:val="21"/>
              </w:rPr>
              <w:t>HJ 347.2-2018</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20MPN/L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6</w:t>
            </w:r>
          </w:p>
        </w:tc>
        <w:tc>
          <w:tcPr>
            <w:tcW w:w="1301" w:type="dxa"/>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五日生化需氧量</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7</w:t>
            </w:r>
          </w:p>
        </w:tc>
        <w:tc>
          <w:tcPr>
            <w:tcW w:w="1301" w:type="dxa"/>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氨氮</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氨氮的测定 纳氏试剂分光光度法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HJ535-2009</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8</w:t>
            </w:r>
          </w:p>
        </w:tc>
        <w:tc>
          <w:tcPr>
            <w:tcW w:w="1301" w:type="dxa"/>
            <w:vMerge w:val="restart"/>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非甲烷总烃</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9</w:t>
            </w:r>
          </w:p>
        </w:tc>
        <w:tc>
          <w:tcPr>
            <w:tcW w:w="1301" w:type="dxa"/>
            <w:vMerge w:val="continue"/>
            <w:noWrap w:val="0"/>
            <w:vAlign w:val="center"/>
          </w:tcPr>
          <w:p>
            <w:pPr>
              <w:jc w:val="center"/>
              <w:rPr>
                <w:rFonts w:hint="eastAsia" w:ascii="宋体" w:hAnsi="宋体" w:eastAsia="宋体" w:cs="宋体"/>
                <w:b w:val="0"/>
                <w:bCs/>
                <w:kern w:val="2"/>
                <w:sz w:val="21"/>
                <w:szCs w:val="21"/>
                <w:vertAlign w:val="baseline"/>
                <w:lang w:val="en-US" w:eastAsia="zh-CN" w:bidi="ar-SA"/>
              </w:rPr>
            </w:pP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气相色谱法 </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noWrap w:val="0"/>
            <w:vAlign w:val="center"/>
          </w:tcPr>
          <w:p>
            <w:pPr>
              <w:numPr>
                <w:ilvl w:val="0"/>
                <w:numId w:val="0"/>
              </w:numPr>
              <w:spacing w:before="0"/>
              <w:ind w:left="0" w:leftChars="0" w:right="0" w:rightChars="0" w:firstLine="0" w:firstLineChars="0"/>
              <w:jc w:val="center"/>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10</w:t>
            </w:r>
          </w:p>
        </w:tc>
        <w:tc>
          <w:tcPr>
            <w:tcW w:w="1301" w:type="dxa"/>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噪声</w:t>
            </w:r>
          </w:p>
        </w:tc>
        <w:tc>
          <w:tcPr>
            <w:tcW w:w="3270"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56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22"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23" w:name="_Toc13376"/>
      <w:bookmarkStart w:id="124" w:name="_Toc507454888"/>
      <w:r>
        <w:rPr>
          <w:rFonts w:hint="eastAsia" w:ascii="Times New Roman" w:hAnsi="Times New Roman" w:eastAsia="宋体"/>
          <w:color w:val="auto"/>
        </w:rPr>
        <w:t>8.2监测仪器</w:t>
      </w:r>
      <w:bookmarkEnd w:id="123"/>
      <w:bookmarkEnd w:id="124"/>
    </w:p>
    <w:p>
      <w:pPr>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color w:val="auto"/>
          <w:szCs w:val="21"/>
          <w:lang w:val="en-US" w:eastAsia="zh-CN"/>
        </w:rPr>
      </w:pPr>
      <w:r>
        <w:rPr>
          <w:rFonts w:ascii="Times New Roman" w:hAnsi="Times New Roman" w:eastAsia="宋体"/>
          <w:color w:val="auto"/>
          <w:sz w:val="21"/>
        </w:rPr>
        <mc:AlternateContent>
          <mc:Choice Requires="wps">
            <w:drawing>
              <wp:anchor distT="0" distB="0" distL="114300" distR="114300" simplePos="0" relativeHeight="251663360" behindDoc="0" locked="0" layoutInCell="1" allowOverlap="1">
                <wp:simplePos x="0" y="0"/>
                <wp:positionH relativeFrom="column">
                  <wp:posOffset>1552575</wp:posOffset>
                </wp:positionH>
                <wp:positionV relativeFrom="paragraph">
                  <wp:posOffset>153035</wp:posOffset>
                </wp:positionV>
                <wp:extent cx="2427605" cy="371475"/>
                <wp:effectExtent l="0" t="0" r="0" b="0"/>
                <wp:wrapNone/>
                <wp:docPr id="29" name="文本框 12"/>
                <wp:cNvGraphicFramePr/>
                <a:graphic xmlns:a="http://schemas.openxmlformats.org/drawingml/2006/main">
                  <a:graphicData uri="http://schemas.microsoft.com/office/word/2010/wordprocessingShape">
                    <wps:wsp>
                      <wps:cNvSpPr txBox="1"/>
                      <wps:spPr>
                        <a:xfrm>
                          <a:off x="0" y="0"/>
                          <a:ext cx="2427605" cy="371475"/>
                        </a:xfrm>
                        <a:prstGeom prst="rect">
                          <a:avLst/>
                        </a:prstGeom>
                        <a:noFill/>
                        <a:ln>
                          <a:noFill/>
                        </a:ln>
                      </wps:spPr>
                      <wps:txbx>
                        <w:txbxContent>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szCs w:val="21"/>
                              </w:rPr>
                            </w:pPr>
                            <w:r>
                              <w:rPr>
                                <w:rFonts w:hint="eastAsia" w:ascii="Times New Roman" w:hAnsi="Times New Roman" w:cs="Times New Roman"/>
                                <w:b/>
                                <w:szCs w:val="21"/>
                              </w:rPr>
                              <w:t xml:space="preserve">表8.2-1 </w:t>
                            </w:r>
                            <w:r>
                              <w:rPr>
                                <w:rFonts w:hint="eastAsia" w:ascii="Times New Roman" w:hAnsi="Times New Roman" w:cs="Times New Roman"/>
                                <w:b/>
                                <w:szCs w:val="21"/>
                                <w:lang w:val="en-US" w:eastAsia="zh-CN"/>
                              </w:rPr>
                              <w:t xml:space="preserve"> </w:t>
                            </w:r>
                            <w:r>
                              <w:rPr>
                                <w:rFonts w:hint="eastAsia" w:ascii="Times New Roman" w:hAnsi="Times New Roman" w:cs="Times New Roman"/>
                                <w:b/>
                                <w:szCs w:val="21"/>
                              </w:rPr>
                              <w:t>监测仪器</w:t>
                            </w:r>
                            <w:r>
                              <w:rPr>
                                <w:rFonts w:ascii="Times New Roman" w:hAnsi="Times New Roman" w:cs="Times New Roman"/>
                                <w:b/>
                                <w:szCs w:val="21"/>
                              </w:rPr>
                              <w:t>一览表</w:t>
                            </w:r>
                          </w:p>
                          <w:p/>
                        </w:txbxContent>
                      </wps:txbx>
                      <wps:bodyPr upright="1"/>
                    </wps:wsp>
                  </a:graphicData>
                </a:graphic>
              </wp:anchor>
            </w:drawing>
          </mc:Choice>
          <mc:Fallback>
            <w:pict>
              <v:shape id="文本框 12" o:spid="_x0000_s1026" o:spt="202" type="#_x0000_t202" style="position:absolute;left:0pt;margin-left:122.25pt;margin-top:12.05pt;height:29.25pt;width:191.15pt;z-index:251663360;mso-width-relative:page;mso-height-relative:page;" filled="f" stroked="f" coordsize="21600,21600" o:gfxdata="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Fy6KfbW&#10;AAAACQEAAA8AAAAAAAAAAQAgAAAAIgAAAGRycy9kb3ducmV2LnhtbFBLAQIUABQAAAAIAIdO4kDV&#10;3JrwsAEAAFADAAAOAAAAAAAAAAEAIAAAACUBAABkcnMvZTJvRG9jLnhtbFBLBQYAAAAABgAGAFkB&#10;AABHBQAAAAA=&#10;">
                <v:fill on="f" focussize="0,0"/>
                <v:stroke on="f"/>
                <v:imagedata o:title=""/>
                <o:lock v:ext="edit" aspectratio="f"/>
                <v:textbox>
                  <w:txbxContent>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Times New Roman"/>
                          <w:b/>
                          <w:szCs w:val="21"/>
                        </w:rPr>
                      </w:pPr>
                      <w:r>
                        <w:rPr>
                          <w:rFonts w:hint="eastAsia" w:ascii="Times New Roman" w:hAnsi="Times New Roman" w:cs="Times New Roman"/>
                          <w:b/>
                          <w:szCs w:val="21"/>
                        </w:rPr>
                        <w:t xml:space="preserve">表8.2-1 </w:t>
                      </w:r>
                      <w:r>
                        <w:rPr>
                          <w:rFonts w:hint="eastAsia" w:ascii="Times New Roman" w:hAnsi="Times New Roman" w:cs="Times New Roman"/>
                          <w:b/>
                          <w:szCs w:val="21"/>
                          <w:lang w:val="en-US" w:eastAsia="zh-CN"/>
                        </w:rPr>
                        <w:t xml:space="preserve"> </w:t>
                      </w:r>
                      <w:r>
                        <w:rPr>
                          <w:rFonts w:hint="eastAsia" w:ascii="Times New Roman" w:hAnsi="Times New Roman" w:cs="Times New Roman"/>
                          <w:b/>
                          <w:szCs w:val="21"/>
                        </w:rPr>
                        <w:t>监测仪器</w:t>
                      </w:r>
                      <w:r>
                        <w:rPr>
                          <w:rFonts w:ascii="Times New Roman" w:hAnsi="Times New Roman" w:cs="Times New Roman"/>
                          <w:b/>
                          <w:szCs w:val="21"/>
                        </w:rPr>
                        <w:t>一览表</w:t>
                      </w:r>
                    </w:p>
                    <w:p/>
                  </w:txbxContent>
                </v:textbox>
              </v:shape>
            </w:pict>
          </mc:Fallback>
        </mc:AlternateContent>
      </w:r>
      <w:r>
        <w:rPr>
          <w:rFonts w:hint="eastAsia" w:ascii="Times New Roman" w:hAnsi="Times New Roman" w:eastAsia="宋体" w:cs="Times New Roman"/>
          <w:color w:val="auto"/>
          <w:sz w:val="24"/>
          <w:szCs w:val="20"/>
        </w:rPr>
        <w:t>本次监测所用采样及实验室分析仪器详见表8.2-1：</w:t>
      </w:r>
      <w:bookmarkStart w:id="125" w:name="_Toc507454889"/>
    </w:p>
    <w:tbl>
      <w:tblPr>
        <w:tblStyle w:val="29"/>
        <w:tblpPr w:leftFromText="180" w:rightFromText="180" w:vertAnchor="text" w:horzAnchor="page" w:tblpX="1280" w:tblpY="292"/>
        <w:tblOverlap w:val="never"/>
        <w:tblW w:w="934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9"/>
        <w:gridCol w:w="2515"/>
        <w:gridCol w:w="1820"/>
        <w:gridCol w:w="2032"/>
        <w:gridCol w:w="21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b/>
                <w:bCs/>
                <w:sz w:val="21"/>
                <w:szCs w:val="21"/>
              </w:rPr>
            </w:pPr>
            <w:bookmarkStart w:id="126" w:name="_Toc13472"/>
            <w:r>
              <w:rPr>
                <w:rFonts w:hint="eastAsia" w:ascii="宋体" w:hAnsi="宋体" w:eastAsia="宋体" w:cs="宋体"/>
                <w:b/>
                <w:bCs/>
                <w:sz w:val="21"/>
                <w:szCs w:val="21"/>
              </w:rPr>
              <w:t>序号</w:t>
            </w:r>
          </w:p>
        </w:tc>
        <w:tc>
          <w:tcPr>
            <w:tcW w:w="2515"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监测仪器名称</w:t>
            </w:r>
          </w:p>
        </w:tc>
        <w:tc>
          <w:tcPr>
            <w:tcW w:w="1820"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b/>
                <w:bCs/>
                <w:sz w:val="21"/>
                <w:szCs w:val="21"/>
              </w:rPr>
            </w:pPr>
            <w:r>
              <w:rPr>
                <w:rFonts w:hint="eastAsia" w:ascii="宋体" w:hAnsi="宋体" w:eastAsia="宋体" w:cs="宋体"/>
                <w:b/>
                <w:bCs/>
                <w:sz w:val="21"/>
                <w:szCs w:val="21"/>
                <w:lang w:val="en-US" w:eastAsia="zh-CN"/>
              </w:rPr>
              <w:t>仪器</w:t>
            </w:r>
            <w:r>
              <w:rPr>
                <w:rFonts w:hint="eastAsia" w:ascii="宋体" w:hAnsi="宋体" w:eastAsia="宋体" w:cs="宋体"/>
                <w:b/>
                <w:bCs/>
                <w:sz w:val="21"/>
                <w:szCs w:val="21"/>
              </w:rPr>
              <w:t>型号</w:t>
            </w:r>
          </w:p>
        </w:tc>
        <w:tc>
          <w:tcPr>
            <w:tcW w:w="2032"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出厂编号</w:t>
            </w:r>
          </w:p>
        </w:tc>
        <w:tc>
          <w:tcPr>
            <w:tcW w:w="2104"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仪器编号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2515" w:type="dxa"/>
            <w:noWrap w:val="0"/>
            <w:vAlign w:val="center"/>
          </w:tcPr>
          <w:p>
            <w:pPr>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便携式pH计</w:t>
            </w:r>
          </w:p>
        </w:tc>
        <w:tc>
          <w:tcPr>
            <w:tcW w:w="1820" w:type="dxa"/>
            <w:noWrap w:val="0"/>
            <w:vAlign w:val="center"/>
          </w:tcPr>
          <w:p>
            <w:pPr>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ST300</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B752199320</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紫外分光光度计</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uv-1800</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LEF-1805026</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微生物膜法BOD快速测定仪</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B-1</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1202011030006</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万分之一天平</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JJ224BF</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162418060176</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台式溶解氧仪</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JPSJ-605F</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630600N0017060021</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生化培养箱</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SPX-150BⅢ</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1807071</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2515"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气相色谱仪</w:t>
            </w:r>
          </w:p>
        </w:tc>
        <w:tc>
          <w:tcPr>
            <w:tcW w:w="1820"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GC4000A</w:t>
            </w:r>
          </w:p>
        </w:tc>
        <w:tc>
          <w:tcPr>
            <w:tcW w:w="2032"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18081036</w:t>
            </w:r>
          </w:p>
        </w:tc>
        <w:tc>
          <w:tcPr>
            <w:tcW w:w="2104" w:type="dxa"/>
            <w:noWrap w:val="0"/>
            <w:vAlign w:val="center"/>
          </w:tcPr>
          <w:p>
            <w:pPr>
              <w:tabs>
                <w:tab w:val="center" w:pos="4153"/>
                <w:tab w:val="right" w:pos="8306"/>
              </w:tabs>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869" w:type="dxa"/>
            <w:noWrap w:val="0"/>
            <w:vAlign w:val="center"/>
          </w:tcPr>
          <w:p>
            <w:pPr>
              <w:pStyle w:val="101"/>
              <w:keepNext w:val="0"/>
              <w:keepLines w:val="0"/>
              <w:pageBreakBefore w:val="0"/>
              <w:widowControl w:val="0"/>
              <w:kinsoku/>
              <w:wordWrap/>
              <w:overflowPunct/>
              <w:topLinePunct w:val="0"/>
              <w:autoSpaceDE/>
              <w:autoSpaceDN/>
              <w:bidi w:val="0"/>
              <w:adjustRightInd/>
              <w:ind w:left="0" w:right="0"/>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2515" w:type="dxa"/>
            <w:noWrap w:val="0"/>
            <w:vAlign w:val="center"/>
          </w:tcPr>
          <w:p>
            <w:pPr>
              <w:keepNext w:val="0"/>
              <w:keepLines w:val="0"/>
              <w:pageBreakBefore w:val="0"/>
              <w:widowControl w:val="0"/>
              <w:tabs>
                <w:tab w:val="center" w:pos="4153"/>
                <w:tab w:val="right" w:pos="8306"/>
              </w:tabs>
              <w:kinsoku/>
              <w:wordWrap/>
              <w:overflowPunct/>
              <w:topLinePunct w:val="0"/>
              <w:autoSpaceDE/>
              <w:autoSpaceDN/>
              <w:bidi w:val="0"/>
              <w:adjustRightInd/>
              <w:snapToGrid w:val="0"/>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多功能声级计</w:t>
            </w:r>
          </w:p>
        </w:tc>
        <w:tc>
          <w:tcPr>
            <w:tcW w:w="1820" w:type="dxa"/>
            <w:noWrap w:val="0"/>
            <w:vAlign w:val="center"/>
          </w:tcPr>
          <w:p>
            <w:pPr>
              <w:keepNext w:val="0"/>
              <w:keepLines w:val="0"/>
              <w:pageBreakBefore w:val="0"/>
              <w:widowControl w:val="0"/>
              <w:tabs>
                <w:tab w:val="center" w:pos="4153"/>
                <w:tab w:val="right" w:pos="8306"/>
              </w:tabs>
              <w:kinsoku/>
              <w:wordWrap/>
              <w:overflowPunct/>
              <w:topLinePunct w:val="0"/>
              <w:autoSpaceDE/>
              <w:autoSpaceDN/>
              <w:bidi w:val="0"/>
              <w:adjustRightInd/>
              <w:snapToGrid w:val="0"/>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AWA5688</w:t>
            </w:r>
          </w:p>
        </w:tc>
        <w:tc>
          <w:tcPr>
            <w:tcW w:w="2032" w:type="dxa"/>
            <w:noWrap w:val="0"/>
            <w:vAlign w:val="center"/>
          </w:tcPr>
          <w:p>
            <w:pPr>
              <w:keepNext w:val="0"/>
              <w:keepLines w:val="0"/>
              <w:pageBreakBefore w:val="0"/>
              <w:widowControl w:val="0"/>
              <w:tabs>
                <w:tab w:val="center" w:pos="4153"/>
                <w:tab w:val="right" w:pos="8306"/>
              </w:tabs>
              <w:kinsoku/>
              <w:wordWrap/>
              <w:overflowPunct/>
              <w:topLinePunct w:val="0"/>
              <w:autoSpaceDE/>
              <w:autoSpaceDN/>
              <w:bidi w:val="0"/>
              <w:adjustRightInd/>
              <w:snapToGrid w:val="0"/>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00315140</w:t>
            </w:r>
          </w:p>
        </w:tc>
        <w:tc>
          <w:tcPr>
            <w:tcW w:w="2104" w:type="dxa"/>
            <w:noWrap w:val="0"/>
            <w:vAlign w:val="center"/>
          </w:tcPr>
          <w:p>
            <w:pPr>
              <w:keepNext w:val="0"/>
              <w:keepLines w:val="0"/>
              <w:pageBreakBefore w:val="0"/>
              <w:widowControl w:val="0"/>
              <w:tabs>
                <w:tab w:val="center" w:pos="4153"/>
                <w:tab w:val="right" w:pos="8306"/>
              </w:tabs>
              <w:kinsoku/>
              <w:wordWrap/>
              <w:overflowPunct/>
              <w:topLinePunct w:val="0"/>
              <w:autoSpaceDE/>
              <w:autoSpaceDN/>
              <w:bidi w:val="0"/>
              <w:adjustRightInd/>
              <w:snapToGrid w:val="0"/>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AHSDP-YQ-23</w:t>
            </w:r>
          </w:p>
        </w:tc>
      </w:tr>
    </w:tbl>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r>
        <w:rPr>
          <w:rFonts w:hint="eastAsia" w:ascii="Times New Roman" w:hAnsi="Times New Roman" w:eastAsia="宋体"/>
          <w:color w:val="auto"/>
        </w:rPr>
        <w:t>8.3人员资质</w:t>
      </w:r>
      <w:bookmarkEnd w:id="125"/>
      <w:bookmarkEnd w:id="126"/>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color w:val="auto"/>
          <w:sz w:val="24"/>
          <w:szCs w:val="20"/>
        </w:rPr>
      </w:pPr>
      <w:r>
        <w:rPr>
          <w:rFonts w:hint="eastAsia" w:ascii="Times New Roman" w:hAnsi="Times New Roman" w:eastAsia="宋体" w:cs="Times New Roman"/>
          <w:color w:val="auto"/>
          <w:sz w:val="24"/>
          <w:szCs w:val="20"/>
        </w:rPr>
        <w:t>本次监测所有的采样及检测分析人员均经过培训，仪器分析人员均经过培训和考核，并得到公司授权。</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eastAsia="宋体"/>
          <w:color w:val="auto"/>
          <w:sz w:val="30"/>
          <w:szCs w:val="30"/>
        </w:rPr>
      </w:pPr>
      <w:bookmarkStart w:id="127" w:name="_Toc8445"/>
      <w:bookmarkStart w:id="128" w:name="_Toc553"/>
      <w:r>
        <w:rPr>
          <w:rFonts w:ascii="Times New Roman" w:hAnsi="Times New Roman" w:eastAsia="宋体"/>
          <w:color w:val="auto"/>
          <w:sz w:val="30"/>
          <w:szCs w:val="30"/>
        </w:rPr>
        <w:t>8.4气体监测分析中的质量控制和质量保证</w:t>
      </w:r>
      <w:bookmarkEnd w:id="127"/>
      <w:bookmarkEnd w:id="128"/>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ascii="Times New Roman" w:hAnsi="Times New Roman" w:eastAsia="宋体"/>
          <w:color w:val="auto"/>
          <w:sz w:val="24"/>
          <w:szCs w:val="24"/>
        </w:rPr>
      </w:pPr>
      <w:r>
        <w:rPr>
          <w:rFonts w:ascii="Times New Roman" w:hAnsi="Times New Roman" w:eastAsia="宋体"/>
          <w:color w:val="auto"/>
          <w:sz w:val="24"/>
        </w:rPr>
        <w:t>监测仪器均符合国家有关标准或技术要求，仪器经计量部门检定合格，并在检定有效期内使用。监测前对使用的大气采样仪器均进行流量校准和标准气体校核，按规定对废气测试仪进行现场检漏，严格按照《固定污染源监测质量保证与质量控制技术规范（试行）》（HJ/T 373-2007）、《固定源废气监测技术规范》（HJ/T 397-2007）执行，样品的采集、运输、储存、样品分析、数值计算均按照《环境监测质量保证手册》中的质量保证要求做</w:t>
      </w:r>
      <w:r>
        <w:rPr>
          <w:rFonts w:ascii="Times New Roman" w:hAnsi="Times New Roman" w:eastAsia="宋体"/>
          <w:color w:val="auto"/>
          <w:sz w:val="24"/>
          <w:szCs w:val="24"/>
        </w:rPr>
        <w:t>。</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eastAsia="宋体"/>
          <w:color w:val="auto"/>
          <w:sz w:val="30"/>
          <w:szCs w:val="30"/>
        </w:rPr>
      </w:pPr>
      <w:bookmarkStart w:id="129" w:name="_Toc29848"/>
      <w:bookmarkStart w:id="130" w:name="_Toc17218"/>
      <w:r>
        <w:rPr>
          <w:rFonts w:ascii="Times New Roman" w:hAnsi="Times New Roman" w:eastAsia="宋体"/>
          <w:color w:val="auto"/>
          <w:sz w:val="30"/>
          <w:szCs w:val="30"/>
        </w:rPr>
        <w:t>8.5噪声监测分析中的质量控制和质量保证</w:t>
      </w:r>
      <w:bookmarkEnd w:id="129"/>
      <w:bookmarkEnd w:id="130"/>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ascii="Times New Roman" w:hAnsi="Times New Roman" w:eastAsia="宋体"/>
          <w:color w:val="auto"/>
          <w:sz w:val="24"/>
        </w:rPr>
      </w:pPr>
      <w:r>
        <w:rPr>
          <w:rFonts w:ascii="Times New Roman" w:hAnsi="Times New Roman" w:eastAsia="宋体"/>
          <w:color w:val="auto"/>
          <w:sz w:val="24"/>
        </w:rPr>
        <w:t>测量方法及环境气象条件的的选择按照国家有关技术规范执行。监测时使用经计量部门检定、并在有效使用期内的声级计；声级计在测试前后用标准发生源进行校准，测量前后仪器的灵敏度相差不大于0.5dB(A)，若大于0.5dB(A)测试数据无效。声级计校验表见表8</w:t>
      </w:r>
      <w:r>
        <w:rPr>
          <w:rFonts w:hint="eastAsia" w:ascii="Times New Roman" w:hAnsi="Times New Roman" w:eastAsia="宋体"/>
          <w:color w:val="auto"/>
          <w:sz w:val="24"/>
          <w:lang w:val="en-US" w:eastAsia="zh-CN"/>
        </w:rPr>
        <w:t>.5-1</w:t>
      </w:r>
      <w:r>
        <w:rPr>
          <w:rFonts w:ascii="Times New Roman" w:hAnsi="Times New Roman" w:eastAsia="宋体"/>
          <w:color w:val="auto"/>
          <w:sz w:val="24"/>
        </w:rPr>
        <w:t>。</w:t>
      </w:r>
    </w:p>
    <w:p>
      <w:pPr>
        <w:pageBreakBefore w:val="0"/>
        <w:widowControl w:val="0"/>
        <w:kinsoku/>
        <w:wordWrap/>
        <w:overflowPunct/>
        <w:topLinePunct w:val="0"/>
        <w:autoSpaceDE/>
        <w:autoSpaceDN/>
        <w:bidi w:val="0"/>
        <w:adjustRightInd/>
        <w:snapToGrid/>
        <w:spacing w:line="360" w:lineRule="auto"/>
        <w:ind w:left="0" w:leftChars="0" w:right="0" w:rightChars="0" w:firstLine="2585" w:firstLineChars="1226"/>
        <w:jc w:val="both"/>
        <w:textAlignment w:val="auto"/>
        <w:rPr>
          <w:rFonts w:ascii="Times New Roman" w:hAnsi="Times New Roman" w:eastAsia="宋体" w:cs="Times New Roman"/>
          <w:b/>
          <w:color w:val="auto"/>
          <w:szCs w:val="21"/>
        </w:rPr>
      </w:pPr>
      <w:r>
        <w:rPr>
          <w:rFonts w:hint="eastAsia" w:ascii="Times New Roman" w:hAnsi="Times New Roman" w:eastAsia="宋体" w:cs="Times New Roman"/>
          <w:b/>
          <w:color w:val="auto"/>
          <w:szCs w:val="21"/>
        </w:rPr>
        <w:t>表</w:t>
      </w:r>
      <w:r>
        <w:rPr>
          <w:rFonts w:ascii="Times New Roman" w:hAnsi="Times New Roman" w:eastAsia="宋体" w:cs="Times New Roman"/>
          <w:b/>
          <w:color w:val="auto"/>
          <w:szCs w:val="21"/>
        </w:rPr>
        <w:t>8</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5</w:t>
      </w:r>
      <w:r>
        <w:rPr>
          <w:rFonts w:ascii="Times New Roman" w:hAnsi="Times New Roman" w:eastAsia="宋体" w:cs="Times New Roman"/>
          <w:b/>
          <w:color w:val="auto"/>
          <w:szCs w:val="21"/>
        </w:rPr>
        <w:t>-</w:t>
      </w:r>
      <w:r>
        <w:rPr>
          <w:rFonts w:hint="eastAsia" w:ascii="Times New Roman" w:hAnsi="Times New Roman" w:eastAsia="宋体" w:cs="Times New Roman"/>
          <w:b/>
          <w:color w:val="auto"/>
          <w:szCs w:val="21"/>
        </w:rPr>
        <w:t>1</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噪声仪校准记录表</w:t>
      </w:r>
    </w:p>
    <w:tbl>
      <w:tblPr>
        <w:tblStyle w:val="29"/>
        <w:tblW w:w="4999"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797"/>
        <w:gridCol w:w="1333"/>
        <w:gridCol w:w="1566"/>
        <w:gridCol w:w="1566"/>
        <w:gridCol w:w="1566"/>
        <w:gridCol w:w="15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restar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校准日期</w:t>
            </w:r>
          </w:p>
        </w:tc>
        <w:tc>
          <w:tcPr>
            <w:tcW w:w="4043" w:type="pct"/>
            <w:gridSpan w:val="5"/>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声级校准（dB（A））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Merge w:val="continue"/>
            <w:vAlign w:val="center"/>
          </w:tcPr>
          <w:p>
            <w:pPr>
              <w:adjustRightInd w:val="0"/>
              <w:spacing w:line="360" w:lineRule="auto"/>
              <w:jc w:val="center"/>
              <w:rPr>
                <w:rFonts w:ascii="Times New Roman" w:hAnsi="Times New Roman" w:eastAsia="宋体" w:cs="Times New Roman"/>
                <w:b/>
                <w:color w:val="auto"/>
                <w:kern w:val="0"/>
                <w:szCs w:val="21"/>
              </w:rPr>
            </w:pPr>
          </w:p>
        </w:tc>
        <w:tc>
          <w:tcPr>
            <w:tcW w:w="709"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校准前</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校准后</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示值偏差</w:t>
            </w:r>
          </w:p>
        </w:tc>
        <w:tc>
          <w:tcPr>
            <w:tcW w:w="833" w:type="pct"/>
            <w:vAlign w:val="center"/>
          </w:tcPr>
          <w:p>
            <w:pPr>
              <w:adjustRightInd w:val="0"/>
              <w:spacing w:line="360" w:lineRule="auto"/>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标准值</w:t>
            </w:r>
          </w:p>
        </w:tc>
        <w:tc>
          <w:tcPr>
            <w:tcW w:w="833" w:type="pct"/>
            <w:vAlign w:val="center"/>
          </w:tcPr>
          <w:p>
            <w:pPr>
              <w:adjustRightInd w:val="0"/>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是否</w:t>
            </w:r>
          </w:p>
          <w:p>
            <w:pPr>
              <w:adjustRightInd w:val="0"/>
              <w:jc w:val="center"/>
              <w:rPr>
                <w:rFonts w:ascii="Times New Roman" w:hAnsi="Times New Roman" w:eastAsia="宋体" w:cs="Times New Roman"/>
                <w:b/>
                <w:color w:val="auto"/>
                <w:kern w:val="0"/>
                <w:szCs w:val="21"/>
              </w:rPr>
            </w:pPr>
            <w:r>
              <w:rPr>
                <w:rFonts w:ascii="Times New Roman" w:hAnsi="Times New Roman" w:eastAsia="宋体" w:cs="Times New Roman"/>
                <w:b/>
                <w:color w:val="auto"/>
                <w:kern w:val="0"/>
                <w:szCs w:val="21"/>
              </w:rPr>
              <w:t>合格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w:t>
            </w:r>
            <w:r>
              <w:rPr>
                <w:rFonts w:hint="eastAsia" w:ascii="Times New Roman" w:hAnsi="Times New Roman" w:eastAsia="宋体" w:cs="Times New Roman"/>
                <w:color w:val="auto"/>
                <w:kern w:val="0"/>
                <w:szCs w:val="21"/>
                <w:lang w:val="en-US" w:eastAsia="zh-CN"/>
              </w:rPr>
              <w:t>21.11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10</w:t>
            </w:r>
            <w:r>
              <w:rPr>
                <w:rFonts w:hint="eastAsia" w:ascii="Times New Roman" w:hAnsi="Times New Roman" w:eastAsia="宋体" w:cs="Times New Roman"/>
                <w:color w:val="auto"/>
                <w:kern w:val="0"/>
                <w:szCs w:val="21"/>
              </w:rPr>
              <w:t>昼间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w:t>
            </w:r>
            <w:r>
              <w:rPr>
                <w:rFonts w:hint="eastAsia" w:ascii="Times New Roman" w:hAnsi="Times New Roman" w:eastAsia="宋体" w:cs="Times New Roman"/>
                <w:color w:val="auto"/>
                <w:kern w:val="0"/>
                <w:szCs w:val="21"/>
                <w:lang w:val="en-US" w:eastAsia="zh-CN"/>
              </w:rPr>
              <w:t>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10</w:t>
            </w:r>
            <w:r>
              <w:rPr>
                <w:rFonts w:hint="eastAsia" w:ascii="Times New Roman" w:hAnsi="Times New Roman" w:eastAsia="宋体" w:cs="Times New Roman"/>
                <w:color w:val="auto"/>
                <w:kern w:val="0"/>
                <w:szCs w:val="21"/>
              </w:rPr>
              <w:t>夜间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w:t>
            </w:r>
            <w:r>
              <w:rPr>
                <w:rFonts w:hint="eastAsia" w:ascii="Times New Roman" w:hAnsi="Times New Roman" w:eastAsia="宋体" w:cs="Times New Roman"/>
                <w:color w:val="auto"/>
                <w:kern w:val="0"/>
                <w:szCs w:val="21"/>
                <w:lang w:val="en-US" w:eastAsia="zh-CN"/>
              </w:rPr>
              <w:t>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昼间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956" w:type="pct"/>
            <w:vAlign w:val="center"/>
          </w:tcPr>
          <w:p>
            <w:pPr>
              <w:adjustRightInd w:val="0"/>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202</w:t>
            </w:r>
            <w:r>
              <w:rPr>
                <w:rFonts w:hint="eastAsia" w:ascii="Times New Roman" w:hAnsi="Times New Roman" w:eastAsia="宋体" w:cs="Times New Roman"/>
                <w:color w:val="auto"/>
                <w:kern w:val="0"/>
                <w:szCs w:val="21"/>
                <w:lang w:val="en-US" w:eastAsia="zh-CN"/>
              </w:rPr>
              <w:t>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夜间</w:t>
            </w:r>
          </w:p>
        </w:tc>
        <w:tc>
          <w:tcPr>
            <w:tcW w:w="709"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93.8</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833" w:type="pct"/>
            <w:vAlign w:val="center"/>
          </w:tcPr>
          <w:p>
            <w:pPr>
              <w:autoSpaceDE w:val="0"/>
              <w:autoSpaceDN w:val="0"/>
              <w:adjustRightIn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bl>
    <w:p>
      <w:pPr>
        <w:rPr>
          <w:rFonts w:ascii="Times New Roman" w:hAnsi="Times New Roman" w:eastAsia="宋体"/>
          <w:color w:val="auto"/>
        </w:rPr>
      </w:pPr>
      <w:bookmarkStart w:id="131" w:name="_Toc507454892"/>
    </w:p>
    <w:p>
      <w:pPr>
        <w:rPr>
          <w:rFonts w:ascii="Times New Roman" w:hAnsi="Times New Roman" w:eastAsia="宋体"/>
          <w:color w:val="auto"/>
        </w:rPr>
      </w:pPr>
    </w:p>
    <w:p>
      <w:pPr>
        <w:pStyle w:val="3"/>
        <w:spacing w:before="156" w:after="156"/>
        <w:jc w:val="center"/>
        <w:rPr>
          <w:rFonts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olor w:val="auto"/>
        </w:rPr>
      </w:pPr>
      <w:bookmarkStart w:id="132" w:name="_Toc461"/>
      <w:r>
        <w:rPr>
          <w:rFonts w:hint="eastAsia" w:ascii="Times New Roman" w:hAnsi="Times New Roman" w:eastAsia="宋体"/>
          <w:color w:val="auto"/>
        </w:rPr>
        <w:t>九、验收监测结果</w:t>
      </w:r>
      <w:bookmarkEnd w:id="131"/>
      <w:bookmarkEnd w:id="132"/>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rPr>
      </w:pPr>
      <w:bookmarkStart w:id="133" w:name="_Toc984"/>
      <w:bookmarkStart w:id="134" w:name="_Toc53502030"/>
      <w:bookmarkStart w:id="135" w:name="_Toc507454893"/>
      <w:r>
        <w:rPr>
          <w:rFonts w:ascii="Times New Roman" w:hAnsi="Times New Roman" w:eastAsia="宋体"/>
        </w:rPr>
        <w:t>9.1</w:t>
      </w:r>
      <w:r>
        <w:rPr>
          <w:rFonts w:hint="eastAsia" w:ascii="Times New Roman" w:hAnsi="Times New Roman" w:eastAsia="宋体"/>
        </w:rPr>
        <w:t>生产工况</w:t>
      </w:r>
      <w:bookmarkEnd w:id="133"/>
      <w:bookmarkEnd w:id="134"/>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sz w:val="24"/>
          <w:szCs w:val="20"/>
        </w:rPr>
      </w:pPr>
      <w:r>
        <w:rPr>
          <w:rFonts w:hint="eastAsia" w:ascii="Times New Roman" w:hAnsi="Times New Roman" w:eastAsia="宋体" w:cs="Times New Roman"/>
          <w:color w:val="auto"/>
          <w:spacing w:val="-6"/>
          <w:sz w:val="24"/>
          <w:szCs w:val="24"/>
          <w:highlight w:val="none"/>
        </w:rPr>
        <w:t>安徽尚德谱检测技术有限责任公司</w:t>
      </w:r>
      <w:r>
        <w:rPr>
          <w:rFonts w:ascii="Times New Roman" w:hAnsi="Times New Roman" w:eastAsia="宋体" w:cs="Times New Roman"/>
          <w:sz w:val="24"/>
          <w:szCs w:val="20"/>
          <w:highlight w:val="none"/>
        </w:rPr>
        <w:t>于</w:t>
      </w:r>
      <w:r>
        <w:rPr>
          <w:rFonts w:ascii="Times New Roman" w:hAnsi="Times New Roman" w:eastAsia="宋体" w:cs="Times New Roman"/>
          <w:color w:val="auto"/>
          <w:sz w:val="24"/>
          <w:szCs w:val="20"/>
        </w:rPr>
        <w:t>20</w:t>
      </w:r>
      <w:r>
        <w:rPr>
          <w:rFonts w:hint="eastAsia" w:ascii="Times New Roman" w:hAnsi="Times New Roman" w:eastAsia="宋体" w:cs="Times New Roman"/>
          <w:color w:val="auto"/>
          <w:sz w:val="24"/>
          <w:szCs w:val="20"/>
        </w:rPr>
        <w:t>2</w:t>
      </w:r>
      <w:r>
        <w:rPr>
          <w:rFonts w:hint="eastAsia" w:ascii="Times New Roman" w:hAnsi="Times New Roman" w:eastAsia="宋体" w:cs="Times New Roman"/>
          <w:color w:val="auto"/>
          <w:sz w:val="24"/>
          <w:szCs w:val="20"/>
          <w:lang w:val="en-US" w:eastAsia="zh-CN"/>
        </w:rPr>
        <w:t>1</w:t>
      </w:r>
      <w:r>
        <w:rPr>
          <w:rFonts w:ascii="Times New Roman" w:hAnsi="Times New Roman" w:eastAsia="宋体" w:cs="Times New Roman"/>
          <w:color w:val="auto"/>
          <w:sz w:val="24"/>
          <w:szCs w:val="20"/>
        </w:rPr>
        <w:t>年</w:t>
      </w:r>
      <w:r>
        <w:rPr>
          <w:rFonts w:hint="eastAsia" w:ascii="Times New Roman" w:hAnsi="Times New Roman" w:eastAsia="宋体" w:cs="Times New Roman"/>
          <w:color w:val="auto"/>
          <w:sz w:val="24"/>
          <w:szCs w:val="20"/>
          <w:lang w:val="en-US" w:eastAsia="zh-CN"/>
        </w:rPr>
        <w:t>11</w:t>
      </w:r>
      <w:r>
        <w:rPr>
          <w:rFonts w:ascii="Times New Roman" w:hAnsi="Times New Roman" w:eastAsia="宋体" w:cs="Times New Roman"/>
          <w:color w:val="auto"/>
          <w:sz w:val="24"/>
          <w:szCs w:val="20"/>
        </w:rPr>
        <w:t>月</w:t>
      </w:r>
      <w:r>
        <w:rPr>
          <w:rFonts w:hint="eastAsia" w:ascii="Times New Roman" w:hAnsi="Times New Roman" w:eastAsia="宋体" w:cs="Times New Roman"/>
          <w:color w:val="auto"/>
          <w:sz w:val="24"/>
          <w:szCs w:val="20"/>
          <w:lang w:val="en-US" w:eastAsia="zh-CN"/>
        </w:rPr>
        <w:t>10</w:t>
      </w:r>
      <w:r>
        <w:rPr>
          <w:rFonts w:hint="eastAsia" w:ascii="Times New Roman" w:hAnsi="Times New Roman" w:eastAsia="宋体" w:cs="Times New Roman"/>
          <w:color w:val="auto"/>
          <w:sz w:val="24"/>
          <w:szCs w:val="20"/>
        </w:rPr>
        <w:t>日</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sz w:val="24"/>
          <w:szCs w:val="20"/>
          <w:lang w:val="en-US" w:eastAsia="zh-CN"/>
        </w:rPr>
        <w:t>11</w:t>
      </w:r>
      <w:r>
        <w:rPr>
          <w:rFonts w:ascii="Times New Roman" w:hAnsi="Times New Roman" w:eastAsia="宋体" w:cs="Times New Roman"/>
          <w:color w:val="auto"/>
          <w:sz w:val="24"/>
          <w:szCs w:val="20"/>
        </w:rPr>
        <w:t>月</w:t>
      </w:r>
      <w:r>
        <w:rPr>
          <w:rFonts w:hint="eastAsia" w:ascii="Times New Roman" w:hAnsi="Times New Roman" w:eastAsia="宋体" w:cs="Times New Roman"/>
          <w:color w:val="auto"/>
          <w:sz w:val="24"/>
          <w:szCs w:val="20"/>
          <w:lang w:val="en-US" w:eastAsia="zh-CN"/>
        </w:rPr>
        <w:t>11</w:t>
      </w:r>
      <w:r>
        <w:rPr>
          <w:rFonts w:ascii="Times New Roman" w:hAnsi="Times New Roman" w:eastAsia="宋体" w:cs="Times New Roman"/>
          <w:color w:val="auto"/>
          <w:sz w:val="24"/>
          <w:szCs w:val="20"/>
        </w:rPr>
        <w:t>日对</w:t>
      </w:r>
      <w:r>
        <w:rPr>
          <w:rFonts w:hint="eastAsia" w:ascii="Times New Roman" w:hAnsi="Times New Roman" w:eastAsia="宋体" w:cs="Times New Roman"/>
          <w:sz w:val="24"/>
          <w:szCs w:val="20"/>
        </w:rPr>
        <w:t>本</w:t>
      </w:r>
      <w:r>
        <w:rPr>
          <w:rFonts w:ascii="Times New Roman" w:hAnsi="Times New Roman" w:eastAsia="宋体" w:cs="Times New Roman"/>
          <w:sz w:val="24"/>
          <w:szCs w:val="20"/>
        </w:rPr>
        <w:t>项目</w:t>
      </w:r>
      <w:r>
        <w:rPr>
          <w:rFonts w:hint="eastAsia" w:ascii="Times New Roman" w:hAnsi="Times New Roman" w:eastAsia="宋体" w:cs="Times New Roman"/>
          <w:sz w:val="24"/>
          <w:szCs w:val="20"/>
        </w:rPr>
        <w:t>环境保护设施调试运行效果</w:t>
      </w:r>
      <w:r>
        <w:rPr>
          <w:rFonts w:ascii="Times New Roman" w:hAnsi="Times New Roman" w:eastAsia="宋体" w:cs="Times New Roman"/>
          <w:sz w:val="24"/>
          <w:szCs w:val="20"/>
        </w:rPr>
        <w:t>进行了现场监测，监测期间</w:t>
      </w:r>
      <w:r>
        <w:rPr>
          <w:rFonts w:hint="eastAsia" w:ascii="Times New Roman" w:hAnsi="Times New Roman" w:eastAsia="宋体" w:cs="Times New Roman"/>
          <w:sz w:val="24"/>
          <w:szCs w:val="20"/>
        </w:rPr>
        <w:t>项目车间正常生产，污染物治理设施运行良好。生产负荷详见表9</w:t>
      </w:r>
      <w:r>
        <w:rPr>
          <w:rFonts w:ascii="Times New Roman" w:hAnsi="Times New Roman" w:eastAsia="宋体" w:cs="Times New Roman"/>
          <w:sz w:val="24"/>
          <w:szCs w:val="20"/>
        </w:rPr>
        <w:t>.1-1</w:t>
      </w:r>
      <w:r>
        <w:rPr>
          <w:rFonts w:hint="eastAsia" w:ascii="Times New Roman" w:hAnsi="Times New Roman" w:eastAsia="宋体" w:cs="Times New Roman"/>
          <w:sz w:val="24"/>
          <w:szCs w:val="20"/>
        </w:rPr>
        <w:t>：</w:t>
      </w:r>
    </w:p>
    <w:p>
      <w:pPr>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
          <w:szCs w:val="21"/>
        </w:rPr>
      </w:pPr>
      <w:r>
        <w:rPr>
          <w:rFonts w:hint="eastAsia" w:ascii="Times New Roman" w:hAnsi="Times New Roman" w:eastAsia="宋体" w:cs="Times New Roman"/>
          <w:b/>
          <w:szCs w:val="21"/>
        </w:rPr>
        <w:t>表</w:t>
      </w:r>
      <w:r>
        <w:rPr>
          <w:rFonts w:ascii="Times New Roman" w:hAnsi="Times New Roman" w:eastAsia="宋体" w:cs="Times New Roman"/>
          <w:b/>
          <w:szCs w:val="21"/>
        </w:rPr>
        <w:t>9.1-</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 xml:space="preserve">  </w:t>
      </w:r>
      <w:r>
        <w:rPr>
          <w:rFonts w:hint="eastAsia" w:ascii="Times New Roman" w:hAnsi="Times New Roman" w:eastAsia="宋体" w:cs="Times New Roman"/>
          <w:b/>
          <w:szCs w:val="21"/>
        </w:rPr>
        <w:t>工况负荷情况表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44"/>
        <w:gridCol w:w="2114"/>
        <w:gridCol w:w="2161"/>
        <w:gridCol w:w="1889"/>
        <w:gridCol w:w="158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监测日期</w:t>
            </w:r>
          </w:p>
        </w:tc>
        <w:tc>
          <w:tcPr>
            <w:tcW w:w="112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产品名称</w:t>
            </w:r>
          </w:p>
        </w:tc>
        <w:tc>
          <w:tcPr>
            <w:tcW w:w="1150"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实际</w:t>
            </w:r>
            <w:r>
              <w:rPr>
                <w:rFonts w:hint="eastAsia" w:ascii="Times New Roman" w:hAnsi="Times New Roman" w:eastAsia="宋体" w:cs="Times New Roman"/>
                <w:b/>
                <w:kern w:val="0"/>
                <w:szCs w:val="21"/>
              </w:rPr>
              <w:t>产量</w:t>
            </w:r>
          </w:p>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t</w:t>
            </w: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d</w:t>
            </w:r>
            <w:r>
              <w:rPr>
                <w:rFonts w:ascii="Times New Roman" w:hAnsi="Times New Roman" w:eastAsia="宋体" w:cs="Times New Roman"/>
                <w:b/>
                <w:kern w:val="0"/>
                <w:szCs w:val="21"/>
              </w:rPr>
              <w:t>）</w:t>
            </w:r>
          </w:p>
        </w:tc>
        <w:tc>
          <w:tcPr>
            <w:tcW w:w="1005" w:type="pct"/>
            <w:vAlign w:val="center"/>
          </w:tcPr>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设计</w:t>
            </w:r>
            <w:r>
              <w:rPr>
                <w:rFonts w:hint="eastAsia" w:ascii="Times New Roman" w:hAnsi="Times New Roman" w:eastAsia="宋体" w:cs="Times New Roman"/>
                <w:b/>
                <w:kern w:val="0"/>
                <w:szCs w:val="21"/>
              </w:rPr>
              <w:t>产量</w:t>
            </w:r>
          </w:p>
          <w:p>
            <w:pPr>
              <w:adjustRightInd w:val="0"/>
              <w:jc w:val="center"/>
              <w:rPr>
                <w:rFonts w:ascii="Times New Roman" w:hAnsi="Times New Roman" w:eastAsia="宋体" w:cs="Times New Roman"/>
                <w:b/>
                <w:kern w:val="0"/>
                <w:szCs w:val="21"/>
              </w:rPr>
            </w:pP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t</w:t>
            </w:r>
            <w:r>
              <w:rPr>
                <w:rFonts w:ascii="Times New Roman" w:hAnsi="Times New Roman" w:eastAsia="宋体" w:cs="Times New Roman"/>
                <w:b/>
                <w:kern w:val="0"/>
                <w:szCs w:val="21"/>
              </w:rPr>
              <w:t>/</w:t>
            </w:r>
            <w:r>
              <w:rPr>
                <w:rFonts w:hint="eastAsia" w:ascii="Times New Roman" w:hAnsi="Times New Roman" w:eastAsia="宋体" w:cs="Times New Roman"/>
                <w:b/>
                <w:kern w:val="0"/>
                <w:szCs w:val="21"/>
                <w:lang w:val="en-US" w:eastAsia="zh-CN"/>
              </w:rPr>
              <w:t>a</w:t>
            </w:r>
            <w:r>
              <w:rPr>
                <w:rFonts w:ascii="Times New Roman" w:hAnsi="Times New Roman" w:eastAsia="宋体" w:cs="Times New Roman"/>
                <w:b/>
                <w:kern w:val="0"/>
                <w:szCs w:val="21"/>
              </w:rPr>
              <w:t>）</w:t>
            </w:r>
          </w:p>
        </w:tc>
        <w:tc>
          <w:tcPr>
            <w:tcW w:w="843" w:type="pct"/>
            <w:vAlign w:val="center"/>
          </w:tcPr>
          <w:p>
            <w:pPr>
              <w:adjustRightInd w:val="0"/>
              <w:jc w:val="center"/>
              <w:rPr>
                <w:rFonts w:ascii="Times New Roman" w:hAnsi="Times New Roman" w:eastAsia="宋体" w:cs="Times New Roman"/>
                <w:b/>
                <w:kern w:val="0"/>
                <w:szCs w:val="21"/>
              </w:rPr>
            </w:pPr>
            <w:r>
              <w:rPr>
                <w:rFonts w:hint="eastAsia" w:ascii="Times New Roman" w:hAnsi="Times New Roman" w:eastAsia="宋体" w:cs="Times New Roman"/>
                <w:b/>
                <w:kern w:val="0"/>
                <w:szCs w:val="21"/>
              </w:rPr>
              <w:t>生产负荷</w:t>
            </w:r>
          </w:p>
          <w:p>
            <w:pPr>
              <w:adjustRightInd w:val="0"/>
              <w:jc w:val="center"/>
              <w:rPr>
                <w:rFonts w:ascii="Times New Roman" w:hAnsi="Times New Roman" w:eastAsia="宋体" w:cs="Times New Roman"/>
                <w:b/>
                <w:kern w:val="0"/>
                <w:szCs w:val="21"/>
              </w:rPr>
            </w:pPr>
            <w:r>
              <w:rPr>
                <w:rFonts w:hint="eastAsia" w:ascii="Times New Roman" w:hAnsi="Times New Roman" w:eastAsia="宋体" w:cs="Times New Roman"/>
                <w:b/>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auto"/>
                <w:kern w:val="0"/>
                <w:szCs w:val="21"/>
              </w:rPr>
              <w:t>202</w:t>
            </w:r>
            <w:r>
              <w:rPr>
                <w:rFonts w:hint="eastAsia" w:ascii="Times New Roman" w:hAnsi="Times New Roman" w:eastAsia="宋体" w:cs="Times New Roman"/>
                <w:color w:val="auto"/>
                <w:kern w:val="0"/>
                <w:szCs w:val="21"/>
                <w:lang w:val="en-US" w:eastAsia="zh-CN"/>
              </w:rPr>
              <w:t>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11</w:t>
            </w:r>
            <w:r>
              <w:rPr>
                <w:rFonts w:hint="eastAsia" w:ascii="Times New Roman" w:hAnsi="Times New Roman" w:eastAsia="宋体" w:cs="Times New Roman"/>
                <w:color w:val="auto"/>
                <w:kern w:val="0"/>
                <w:szCs w:val="21"/>
              </w:rPr>
              <w:t>.</w:t>
            </w:r>
            <w:r>
              <w:rPr>
                <w:rFonts w:hint="eastAsia" w:ascii="Times New Roman" w:hAnsi="Times New Roman" w:eastAsia="宋体" w:cs="Times New Roman"/>
                <w:color w:val="auto"/>
                <w:kern w:val="0"/>
                <w:szCs w:val="21"/>
                <w:lang w:val="en-US" w:eastAsia="zh-CN"/>
              </w:rPr>
              <w:t>10</w:t>
            </w:r>
          </w:p>
        </w:tc>
        <w:tc>
          <w:tcPr>
            <w:tcW w:w="1125" w:type="pct"/>
            <w:vAlign w:val="center"/>
          </w:tcPr>
          <w:p>
            <w:pPr>
              <w:jc w:val="center"/>
              <w:rPr>
                <w:rFonts w:hint="eastAsia" w:ascii="Times New Roman" w:hAnsi="Times New Roman" w:eastAsia="宋体"/>
                <w:szCs w:val="21"/>
                <w:lang w:eastAsia="zh-CN"/>
              </w:rPr>
            </w:pPr>
            <w:r>
              <w:rPr>
                <w:rFonts w:hint="eastAsia" w:ascii="Times New Roman" w:hAnsi="Times New Roman" w:eastAsia="宋体"/>
                <w:szCs w:val="21"/>
                <w:lang w:eastAsia="zh-CN"/>
              </w:rPr>
              <w:t>再生塑料颗粒</w:t>
            </w:r>
          </w:p>
        </w:tc>
        <w:tc>
          <w:tcPr>
            <w:tcW w:w="1150"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4.1</w:t>
            </w:r>
          </w:p>
        </w:tc>
        <w:tc>
          <w:tcPr>
            <w:tcW w:w="1005"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1300</w:t>
            </w:r>
          </w:p>
        </w:tc>
        <w:tc>
          <w:tcPr>
            <w:tcW w:w="843"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93.5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75" w:type="pct"/>
            <w:vAlign w:val="center"/>
          </w:tcPr>
          <w:p>
            <w:pPr>
              <w:adjustRightInd w:val="0"/>
              <w:jc w:val="center"/>
              <w:rPr>
                <w:rFonts w:hint="default" w:ascii="Times New Roman" w:hAnsi="Times New Roman" w:eastAsia="宋体" w:cs="Times New Roman"/>
                <w:b/>
                <w:bCs/>
                <w:color w:val="auto"/>
                <w:kern w:val="0"/>
                <w:szCs w:val="21"/>
                <w:lang w:val="en-US" w:eastAsia="zh-CN"/>
              </w:rPr>
            </w:pPr>
            <w:r>
              <w:rPr>
                <w:rFonts w:hint="eastAsia" w:ascii="Times New Roman" w:hAnsi="Times New Roman" w:eastAsia="宋体" w:cs="Times New Roman"/>
                <w:b w:val="0"/>
                <w:bCs w:val="0"/>
                <w:color w:val="auto"/>
                <w:kern w:val="0"/>
                <w:szCs w:val="21"/>
              </w:rPr>
              <w:t>2020.</w:t>
            </w:r>
            <w:r>
              <w:rPr>
                <w:rFonts w:hint="eastAsia" w:ascii="Times New Roman" w:hAnsi="Times New Roman" w:eastAsia="宋体" w:cs="Times New Roman"/>
                <w:b w:val="0"/>
                <w:bCs w:val="0"/>
                <w:color w:val="auto"/>
                <w:kern w:val="0"/>
                <w:szCs w:val="21"/>
                <w:lang w:val="en-US" w:eastAsia="zh-CN"/>
              </w:rPr>
              <w:t>11</w:t>
            </w:r>
            <w:r>
              <w:rPr>
                <w:rFonts w:hint="eastAsia" w:ascii="Times New Roman" w:hAnsi="Times New Roman" w:eastAsia="宋体" w:cs="Times New Roman"/>
                <w:b w:val="0"/>
                <w:bCs w:val="0"/>
                <w:color w:val="auto"/>
                <w:kern w:val="0"/>
                <w:szCs w:val="21"/>
              </w:rPr>
              <w:t>.</w:t>
            </w:r>
            <w:r>
              <w:rPr>
                <w:rFonts w:hint="eastAsia" w:ascii="Times New Roman" w:hAnsi="Times New Roman" w:eastAsia="宋体" w:cs="Times New Roman"/>
                <w:b w:val="0"/>
                <w:bCs w:val="0"/>
                <w:color w:val="auto"/>
                <w:kern w:val="0"/>
                <w:szCs w:val="21"/>
                <w:lang w:val="en-US" w:eastAsia="zh-CN"/>
              </w:rPr>
              <w:t>11</w:t>
            </w:r>
          </w:p>
        </w:tc>
        <w:tc>
          <w:tcPr>
            <w:tcW w:w="1125" w:type="pct"/>
            <w:vAlign w:val="center"/>
          </w:tcPr>
          <w:p>
            <w:pPr>
              <w:jc w:val="center"/>
              <w:rPr>
                <w:rFonts w:hint="eastAsia" w:ascii="Times New Roman" w:hAnsi="Times New Roman" w:eastAsia="宋体"/>
                <w:b/>
                <w:bCs/>
                <w:color w:val="auto"/>
                <w:szCs w:val="21"/>
                <w:lang w:eastAsia="zh-CN"/>
              </w:rPr>
            </w:pPr>
            <w:r>
              <w:rPr>
                <w:rFonts w:hint="eastAsia" w:ascii="Times New Roman" w:hAnsi="Times New Roman" w:eastAsia="宋体"/>
                <w:b w:val="0"/>
                <w:bCs w:val="0"/>
                <w:color w:val="auto"/>
                <w:szCs w:val="21"/>
                <w:lang w:eastAsia="zh-CN"/>
              </w:rPr>
              <w:t>再生塑料颗粒</w:t>
            </w:r>
          </w:p>
        </w:tc>
        <w:tc>
          <w:tcPr>
            <w:tcW w:w="1150" w:type="pct"/>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4.2</w:t>
            </w:r>
          </w:p>
        </w:tc>
        <w:tc>
          <w:tcPr>
            <w:tcW w:w="1005"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1300</w:t>
            </w:r>
          </w:p>
        </w:tc>
        <w:tc>
          <w:tcPr>
            <w:tcW w:w="843" w:type="pct"/>
            <w:vAlign w:val="center"/>
          </w:tcPr>
          <w:p>
            <w:pPr>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94.6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000" w:type="pct"/>
            <w:gridSpan w:val="5"/>
            <w:vAlign w:val="center"/>
          </w:tcPr>
          <w:p>
            <w:pPr>
              <w:adjustRightIn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备注：年工作日3</w:t>
            </w:r>
            <w:r>
              <w:rPr>
                <w:rFonts w:hint="eastAsia" w:ascii="Times New Roman" w:hAnsi="Times New Roman" w:eastAsia="宋体" w:cs="Times New Roman"/>
                <w:kern w:val="0"/>
                <w:szCs w:val="21"/>
                <w:lang w:val="en-US" w:eastAsia="zh-CN"/>
              </w:rPr>
              <w:t>0</w:t>
            </w:r>
            <w:r>
              <w:rPr>
                <w:rFonts w:hint="eastAsia" w:ascii="Times New Roman" w:hAnsi="Times New Roman" w:eastAsia="宋体" w:cs="Times New Roman"/>
                <w:kern w:val="0"/>
                <w:szCs w:val="21"/>
              </w:rPr>
              <w:t>0天</w:t>
            </w:r>
          </w:p>
        </w:tc>
      </w:tr>
    </w:tbl>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36" w:name="_Toc15140"/>
      <w:r>
        <w:rPr>
          <w:rFonts w:ascii="Times New Roman" w:hAnsi="Times New Roman" w:eastAsia="宋体"/>
          <w:color w:val="auto"/>
        </w:rPr>
        <w:t>9.</w:t>
      </w:r>
      <w:r>
        <w:rPr>
          <w:rFonts w:hint="eastAsia" w:ascii="Times New Roman" w:hAnsi="Times New Roman" w:eastAsia="宋体"/>
          <w:color w:val="auto"/>
          <w:lang w:val="en-US" w:eastAsia="zh-CN"/>
        </w:rPr>
        <w:t>2</w:t>
      </w:r>
      <w:r>
        <w:rPr>
          <w:rFonts w:hint="eastAsia" w:ascii="Times New Roman" w:hAnsi="Times New Roman" w:eastAsia="宋体"/>
          <w:color w:val="auto"/>
          <w:lang w:eastAsia="zh-CN"/>
        </w:rPr>
        <w:t>有组织废气监测结果</w:t>
      </w:r>
      <w:bookmarkEnd w:id="136"/>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rPr>
        <w:t>有组织废气监测结果详见表9</w:t>
      </w:r>
      <w:r>
        <w:rPr>
          <w:rFonts w:ascii="Times New Roman" w:hAnsi="Times New Roman" w:eastAsia="宋体" w:cs="Times New Roman"/>
          <w:sz w:val="24"/>
          <w:szCs w:val="24"/>
        </w:rPr>
        <w:t>.2</w:t>
      </w:r>
      <w:r>
        <w:rPr>
          <w:rFonts w:hint="eastAsia" w:ascii="Times New Roman" w:hAnsi="Times New Roman" w:eastAsia="宋体" w:cs="Times New Roman"/>
          <w:sz w:val="24"/>
          <w:szCs w:val="24"/>
        </w:rPr>
        <w:t>-1~9.2-</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sz w:val="21"/>
          <w:szCs w:val="21"/>
          <w:lang w:val="en-US" w:eastAsia="zh-CN"/>
        </w:rPr>
      </w:pPr>
      <w:r>
        <w:rPr>
          <w:rFonts w:hint="eastAsia" w:ascii="Times New Roman" w:hAnsi="Times New Roman" w:eastAsia="宋体" w:cstheme="minorEastAsia"/>
          <w:b/>
          <w:bCs/>
          <w:sz w:val="21"/>
          <w:szCs w:val="21"/>
        </w:rPr>
        <w:t>表</w:t>
      </w:r>
      <w:r>
        <w:rPr>
          <w:rFonts w:hint="eastAsia" w:ascii="Times New Roman" w:hAnsi="Times New Roman" w:eastAsia="宋体" w:cstheme="minorEastAsia"/>
          <w:b/>
          <w:bCs/>
          <w:sz w:val="21"/>
          <w:szCs w:val="21"/>
          <w:lang w:val="en-US" w:eastAsia="zh-CN"/>
        </w:rPr>
        <w:t>9.2-1  有组织废气</w:t>
      </w:r>
      <w:r>
        <w:rPr>
          <w:rFonts w:hint="eastAsia" w:ascii="Times New Roman" w:hAnsi="Times New Roman" w:eastAsia="宋体" w:cstheme="minorEastAsia"/>
          <w:b/>
          <w:bCs/>
          <w:sz w:val="21"/>
          <w:szCs w:val="21"/>
        </w:rPr>
        <w:t>监测结果</w:t>
      </w:r>
      <w:r>
        <w:rPr>
          <w:rFonts w:hint="eastAsia" w:ascii="Times New Roman" w:hAnsi="Times New Roman" w:eastAsia="宋体" w:cstheme="minorEastAsia"/>
          <w:b/>
          <w:bCs/>
          <w:sz w:val="21"/>
          <w:szCs w:val="21"/>
          <w:lang w:eastAsia="zh-CN"/>
        </w:rPr>
        <w:t>及评价一览</w:t>
      </w:r>
      <w:r>
        <w:rPr>
          <w:rFonts w:hint="eastAsia" w:ascii="Times New Roman" w:hAnsi="Times New Roman" w:eastAsia="宋体" w:cstheme="minorEastAsia"/>
          <w:b/>
          <w:bCs/>
          <w:spacing w:val="-3"/>
          <w:sz w:val="21"/>
          <w:szCs w:val="21"/>
          <w:lang w:eastAsia="zh-CN"/>
        </w:rPr>
        <w:t>表（</w:t>
      </w:r>
      <w:r>
        <w:rPr>
          <w:rFonts w:hint="eastAsia" w:ascii="Times New Roman" w:hAnsi="Times New Roman" w:eastAsia="宋体" w:cstheme="minorEastAsia"/>
          <w:b/>
          <w:bCs/>
          <w:spacing w:val="-3"/>
          <w:sz w:val="21"/>
          <w:szCs w:val="21"/>
          <w:lang w:val="en-US" w:eastAsia="zh-CN"/>
        </w:rPr>
        <w:t>1）</w:t>
      </w:r>
    </w:p>
    <w:tbl>
      <w:tblPr>
        <w:tblStyle w:val="30"/>
        <w:tblW w:w="9460" w:type="dxa"/>
        <w:tblInd w:w="-4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
        <w:gridCol w:w="1862"/>
        <w:gridCol w:w="1188"/>
        <w:gridCol w:w="1188"/>
        <w:gridCol w:w="1188"/>
        <w:gridCol w:w="1188"/>
        <w:gridCol w:w="1188"/>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监测点位</w:t>
            </w:r>
          </w:p>
        </w:tc>
        <w:tc>
          <w:tcPr>
            <w:tcW w:w="3564" w:type="dxa"/>
            <w:gridSpan w:val="3"/>
            <w:noWrap w:val="0"/>
            <w:vAlign w:val="center"/>
          </w:tcPr>
          <w:p>
            <w:pPr>
              <w:jc w:val="center"/>
              <w:rPr>
                <w:rFonts w:hint="default" w:ascii="宋体" w:hAnsi="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高压静电+活性炭吸附装置进口</w:t>
            </w:r>
          </w:p>
        </w:tc>
        <w:tc>
          <w:tcPr>
            <w:tcW w:w="3565" w:type="dxa"/>
            <w:gridSpan w:val="3"/>
            <w:noWrap w:val="0"/>
            <w:vAlign w:val="center"/>
          </w:tcPr>
          <w:p>
            <w:pPr>
              <w:jc w:val="center"/>
              <w:rPr>
                <w:rFonts w:hint="default" w:ascii="宋体" w:hAnsi="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高压静电+活性炭吸附装置出口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60" w:type="dxa"/>
            <w:gridSpan w:val="8"/>
            <w:noWrap w:val="0"/>
            <w:vAlign w:val="center"/>
          </w:tcPr>
          <w:p>
            <w:pPr>
              <w:jc w:val="left"/>
              <w:rPr>
                <w:rFonts w:hint="eastAsia" w:asciiTheme="majorEastAsia" w:hAnsiTheme="majorEastAsia" w:eastAsiaTheme="majorEastAsia" w:cstheme="majorEastAsia"/>
                <w:b/>
                <w:bCs/>
                <w:spacing w:val="-19"/>
                <w:sz w:val="21"/>
                <w:szCs w:val="21"/>
                <w:vertAlign w:val="baseline"/>
                <w:lang w:val="en-US"/>
              </w:rPr>
            </w:pPr>
            <w:r>
              <w:rPr>
                <w:rFonts w:hint="eastAsia" w:asciiTheme="majorEastAsia" w:hAnsiTheme="majorEastAsia" w:eastAsiaTheme="majorEastAsia" w:cstheme="majorEastAsia"/>
                <w:b/>
                <w:bCs/>
                <w:sz w:val="21"/>
                <w:szCs w:val="21"/>
                <w:vertAlign w:val="baseline"/>
                <w:lang w:val="en-US" w:eastAsia="zh-CN"/>
              </w:rPr>
              <w:t>监测时间：2021年11月10日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vMerge w:val="restart"/>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检测项目</w:t>
            </w:r>
          </w:p>
        </w:tc>
        <w:tc>
          <w:tcPr>
            <w:tcW w:w="7129" w:type="dxa"/>
            <w:gridSpan w:val="6"/>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样品编号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vMerge w:val="continue"/>
            <w:noWrap w:val="0"/>
            <w:vAlign w:val="center"/>
          </w:tcPr>
          <w:p>
            <w:pPr>
              <w:jc w:val="center"/>
              <w:rPr>
                <w:rFonts w:hint="eastAsia" w:asciiTheme="majorEastAsia" w:hAnsiTheme="majorEastAsia" w:eastAsiaTheme="majorEastAsia" w:cstheme="majorEastAsia"/>
                <w:sz w:val="21"/>
                <w:szCs w:val="21"/>
              </w:rPr>
            </w:pP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Q-202111130-1-1</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Q-202111130-1-1</w:t>
            </w:r>
          </w:p>
          <w:p>
            <w:pPr>
              <w:jc w:val="center"/>
              <w:rPr>
                <w:rFonts w:hint="eastAsia" w:asciiTheme="majorEastAsia" w:hAnsiTheme="majorEastAsia" w:eastAsiaTheme="majorEastAsia" w:cstheme="majorEastAsia"/>
                <w:b w:val="0"/>
                <w:bCs w:val="0"/>
                <w:spacing w:val="0"/>
                <w:sz w:val="21"/>
                <w:szCs w:val="21"/>
                <w:vertAlign w:val="baseline"/>
              </w:rPr>
            </w:pPr>
            <w:r>
              <w:rPr>
                <w:rFonts w:hint="eastAsia" w:asciiTheme="majorEastAsia" w:hAnsiTheme="majorEastAsia" w:eastAsiaTheme="majorEastAsia" w:cstheme="majorEastAsia"/>
                <w:b w:val="0"/>
                <w:bCs w:val="0"/>
                <w:spacing w:val="0"/>
                <w:sz w:val="21"/>
                <w:szCs w:val="21"/>
                <w:vertAlign w:val="baseline"/>
                <w:lang w:val="en-US" w:eastAsia="zh-CN"/>
              </w:rPr>
              <w:t>(02)</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Q-202111130-1-1</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(03)</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Q-202111130-1-2</w:t>
            </w:r>
          </w:p>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(01)</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Q-202111130-1-2</w:t>
            </w:r>
          </w:p>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(02)</w:t>
            </w:r>
          </w:p>
        </w:tc>
        <w:tc>
          <w:tcPr>
            <w:tcW w:w="1189"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Q-202111130-1-2</w:t>
            </w:r>
          </w:p>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排气筒高度（m）</w:t>
            </w:r>
          </w:p>
        </w:tc>
        <w:tc>
          <w:tcPr>
            <w:tcW w:w="3564"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w:t>
            </w:r>
          </w:p>
        </w:tc>
        <w:tc>
          <w:tcPr>
            <w:tcW w:w="3565"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截面积（m</w:t>
            </w:r>
            <w:r>
              <w:rPr>
                <w:rFonts w:hint="eastAsia" w:asciiTheme="majorEastAsia" w:hAnsiTheme="majorEastAsia" w:eastAsiaTheme="majorEastAsia" w:cstheme="majorEastAsia"/>
                <w:b/>
                <w:bCs/>
                <w:sz w:val="21"/>
                <w:szCs w:val="21"/>
                <w:vertAlign w:val="superscript"/>
                <w:lang w:val="en-US" w:eastAsia="zh-CN"/>
              </w:rPr>
              <w:t>2</w:t>
            </w:r>
            <w:r>
              <w:rPr>
                <w:rFonts w:hint="eastAsia" w:asciiTheme="majorEastAsia" w:hAnsiTheme="majorEastAsia" w:eastAsiaTheme="majorEastAsia" w:cstheme="majorEastAsia"/>
                <w:b/>
                <w:bCs/>
                <w:sz w:val="21"/>
                <w:szCs w:val="21"/>
                <w:vertAlign w:val="baseline"/>
                <w:lang w:val="en-US" w:eastAsia="zh-CN"/>
              </w:rPr>
              <w:t>）</w:t>
            </w:r>
          </w:p>
        </w:tc>
        <w:tc>
          <w:tcPr>
            <w:tcW w:w="3564"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0.5026</w:t>
            </w:r>
          </w:p>
        </w:tc>
        <w:tc>
          <w:tcPr>
            <w:tcW w:w="3565"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0.7088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温度（℃）</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36.2</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38.1</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35.7</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30.2</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28.9</w:t>
            </w:r>
          </w:p>
        </w:tc>
        <w:tc>
          <w:tcPr>
            <w:tcW w:w="1189"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大气压（Kpa）</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101.1</w:t>
            </w:r>
          </w:p>
        </w:tc>
        <w:tc>
          <w:tcPr>
            <w:tcW w:w="1188" w:type="dxa"/>
            <w:noWrap w:val="0"/>
            <w:vAlign w:val="center"/>
          </w:tcPr>
          <w:p>
            <w:pPr>
              <w:jc w:val="center"/>
              <w:rPr>
                <w:rFonts w:hint="default" w:asciiTheme="majorEastAsia" w:hAnsiTheme="majorEastAsia" w:eastAsiaTheme="majorEastAsia" w:cstheme="majorEastAsia"/>
                <w:kern w:val="2"/>
                <w:sz w:val="21"/>
                <w:szCs w:val="21"/>
                <w:lang w:val="en-US" w:eastAsia="zh-CN" w:bidi="ar-SA"/>
              </w:rPr>
            </w:pPr>
            <w:r>
              <w:rPr>
                <w:rFonts w:hint="eastAsia" w:asciiTheme="majorEastAsia" w:hAnsiTheme="majorEastAsia" w:eastAsiaTheme="majorEastAsia" w:cstheme="majorEastAsia"/>
                <w:kern w:val="2"/>
                <w:sz w:val="21"/>
                <w:szCs w:val="21"/>
                <w:lang w:val="en-US" w:eastAsia="zh-CN" w:bidi="ar-SA"/>
              </w:rPr>
              <w:t>101.1</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101.2</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101.2</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101.1</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rPr>
            </w:pPr>
            <w:r>
              <w:rPr>
                <w:rFonts w:hint="eastAsia" w:asciiTheme="majorEastAsia" w:hAnsiTheme="majorEastAsia" w:eastAsiaTheme="majorEastAsia" w:cstheme="majorEastAsia"/>
                <w:b/>
                <w:bCs/>
                <w:sz w:val="21"/>
                <w:szCs w:val="21"/>
                <w:vertAlign w:val="baseline"/>
                <w:lang w:val="en-US" w:eastAsia="zh-CN"/>
              </w:rPr>
              <w:t>流速（m/s）</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4.8</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4.5</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4.4</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4.0</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4.1</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rPr>
            </w:pPr>
            <w:r>
              <w:rPr>
                <w:rFonts w:hint="eastAsia" w:asciiTheme="majorEastAsia" w:hAnsiTheme="majorEastAsia" w:eastAsiaTheme="majorEastAsia" w:cstheme="majorEastAsia"/>
                <w:b/>
                <w:bCs/>
                <w:sz w:val="21"/>
                <w:szCs w:val="21"/>
                <w:vertAlign w:val="baseline"/>
                <w:lang w:val="en-US" w:eastAsia="zh-CN"/>
              </w:rPr>
              <w:t>标干流量(m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/h）</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7653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7131</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7033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9181</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9441</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9791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pacing w:val="-19"/>
                <w:sz w:val="21"/>
                <w:szCs w:val="21"/>
                <w:vertAlign w:val="baseline"/>
                <w:lang w:val="en-US" w:eastAsia="zh-CN"/>
              </w:rPr>
              <w:t>非甲烷总烃</w:t>
            </w:r>
          </w:p>
        </w:tc>
        <w:tc>
          <w:tcPr>
            <w:tcW w:w="1862" w:type="dxa"/>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实测浓度（mg/m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14.8</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14.9</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15.0</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4.52</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4.53</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dxa"/>
            <w:vMerge w:val="continue"/>
            <w:noWrap w:val="0"/>
            <w:vAlign w:val="center"/>
          </w:tcPr>
          <w:p>
            <w:pPr>
              <w:jc w:val="center"/>
              <w:rPr>
                <w:rFonts w:hint="eastAsia" w:asciiTheme="majorEastAsia" w:hAnsiTheme="majorEastAsia" w:eastAsiaTheme="majorEastAsia" w:cstheme="majorEastAsia"/>
                <w:b/>
                <w:bCs/>
                <w:spacing w:val="-19"/>
                <w:sz w:val="21"/>
                <w:szCs w:val="21"/>
                <w:vertAlign w:val="baseline"/>
              </w:rPr>
            </w:pPr>
          </w:p>
        </w:tc>
        <w:tc>
          <w:tcPr>
            <w:tcW w:w="1862" w:type="dxa"/>
            <w:noWrap w:val="0"/>
            <w:vAlign w:val="center"/>
          </w:tcPr>
          <w:p>
            <w:pPr>
              <w:jc w:val="center"/>
              <w:rPr>
                <w:rFonts w:hint="eastAsia" w:asciiTheme="majorEastAsia" w:hAnsiTheme="majorEastAsia" w:eastAsiaTheme="majorEastAsia" w:cstheme="majorEastAsia"/>
                <w:b/>
                <w:bCs/>
                <w:spacing w:val="-19"/>
                <w:sz w:val="21"/>
                <w:szCs w:val="21"/>
                <w:vertAlign w:val="baseline"/>
                <w:lang w:val="en-US"/>
              </w:rPr>
            </w:pPr>
            <w:r>
              <w:rPr>
                <w:rFonts w:hint="eastAsia" w:asciiTheme="majorEastAsia" w:hAnsiTheme="majorEastAsia" w:eastAsiaTheme="majorEastAsia" w:cstheme="majorEastAsia"/>
                <w:b/>
                <w:bCs/>
                <w:sz w:val="21"/>
                <w:szCs w:val="21"/>
                <w:vertAlign w:val="baseline"/>
                <w:lang w:val="en-US" w:eastAsia="zh-CN"/>
              </w:rPr>
              <w:t>排放浓度（mg/m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4.52</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4.53</w:t>
            </w:r>
          </w:p>
        </w:tc>
        <w:tc>
          <w:tcPr>
            <w:tcW w:w="1189"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dxa"/>
            <w:vMerge w:val="continue"/>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p>
        </w:tc>
        <w:tc>
          <w:tcPr>
            <w:tcW w:w="1862" w:type="dxa"/>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排放速率（kg/h）</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0.113</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0.106</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0.105</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 xml:space="preserve">0.041 </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 xml:space="preserve">0.043 </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 xml:space="preserve">0.042 </w:t>
            </w:r>
          </w:p>
        </w:tc>
      </w:tr>
    </w:tbl>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宋体" w:cstheme="minorEastAsia"/>
          <w:spacing w:val="-19"/>
          <w:sz w:val="28"/>
          <w:szCs w:val="28"/>
        </w:rPr>
      </w:pPr>
      <w:r>
        <w:rPr>
          <w:rFonts w:hint="eastAsia" w:ascii="Times New Roman" w:hAnsi="Times New Roman" w:eastAsia="宋体" w:cstheme="minorEastAsia"/>
          <w:b/>
          <w:bCs/>
          <w:sz w:val="21"/>
          <w:szCs w:val="21"/>
        </w:rPr>
        <w:t>表</w:t>
      </w:r>
      <w:r>
        <w:rPr>
          <w:rFonts w:hint="eastAsia" w:ascii="Times New Roman" w:hAnsi="Times New Roman" w:eastAsia="宋体" w:cstheme="minorEastAsia"/>
          <w:b/>
          <w:bCs/>
          <w:sz w:val="21"/>
          <w:szCs w:val="21"/>
          <w:lang w:val="en-US" w:eastAsia="zh-CN"/>
        </w:rPr>
        <w:t>9.2-2  有组织废气</w:t>
      </w:r>
      <w:r>
        <w:rPr>
          <w:rFonts w:hint="eastAsia" w:ascii="Times New Roman" w:hAnsi="Times New Roman" w:eastAsia="宋体" w:cstheme="minorEastAsia"/>
          <w:b/>
          <w:bCs/>
          <w:sz w:val="21"/>
          <w:szCs w:val="21"/>
        </w:rPr>
        <w:t>监测结果</w:t>
      </w:r>
      <w:r>
        <w:rPr>
          <w:rFonts w:hint="eastAsia" w:ascii="Times New Roman" w:hAnsi="Times New Roman" w:eastAsia="宋体" w:cstheme="minorEastAsia"/>
          <w:b/>
          <w:bCs/>
          <w:sz w:val="21"/>
          <w:szCs w:val="21"/>
          <w:lang w:eastAsia="zh-CN"/>
        </w:rPr>
        <w:t>及评价一览</w:t>
      </w:r>
      <w:r>
        <w:rPr>
          <w:rFonts w:hint="eastAsia" w:ascii="Times New Roman" w:hAnsi="Times New Roman" w:eastAsia="宋体" w:cstheme="minorEastAsia"/>
          <w:b/>
          <w:bCs/>
          <w:spacing w:val="-3"/>
          <w:sz w:val="21"/>
          <w:szCs w:val="21"/>
          <w:lang w:eastAsia="zh-CN"/>
        </w:rPr>
        <w:t>表（</w:t>
      </w:r>
      <w:r>
        <w:rPr>
          <w:rFonts w:hint="eastAsia" w:ascii="Times New Roman" w:hAnsi="Times New Roman" w:eastAsia="宋体" w:cstheme="minorEastAsia"/>
          <w:b/>
          <w:bCs/>
          <w:spacing w:val="-3"/>
          <w:sz w:val="21"/>
          <w:szCs w:val="21"/>
          <w:lang w:val="en-US" w:eastAsia="zh-CN"/>
        </w:rPr>
        <w:t>2）</w:t>
      </w:r>
    </w:p>
    <w:tbl>
      <w:tblPr>
        <w:tblStyle w:val="30"/>
        <w:tblW w:w="9460" w:type="dxa"/>
        <w:tblInd w:w="-4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
        <w:gridCol w:w="1862"/>
        <w:gridCol w:w="1188"/>
        <w:gridCol w:w="1188"/>
        <w:gridCol w:w="1188"/>
        <w:gridCol w:w="1188"/>
        <w:gridCol w:w="1188"/>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监测点位</w:t>
            </w:r>
          </w:p>
        </w:tc>
        <w:tc>
          <w:tcPr>
            <w:tcW w:w="3564" w:type="dxa"/>
            <w:gridSpan w:val="3"/>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cs="宋体"/>
                <w:b w:val="0"/>
                <w:bCs/>
                <w:sz w:val="21"/>
                <w:szCs w:val="21"/>
                <w:vertAlign w:val="baseline"/>
                <w:lang w:val="en-US" w:eastAsia="zh-CN"/>
              </w:rPr>
              <w:t>高压静电+活性炭吸附装置进口</w:t>
            </w:r>
          </w:p>
        </w:tc>
        <w:tc>
          <w:tcPr>
            <w:tcW w:w="3565" w:type="dxa"/>
            <w:gridSpan w:val="3"/>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cs="宋体"/>
                <w:b w:val="0"/>
                <w:bCs/>
                <w:sz w:val="21"/>
                <w:szCs w:val="21"/>
                <w:vertAlign w:val="baseline"/>
                <w:lang w:val="en-US" w:eastAsia="zh-CN"/>
              </w:rPr>
              <w:t>高压静电+活性炭吸附装置出口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460" w:type="dxa"/>
            <w:gridSpan w:val="8"/>
            <w:noWrap w:val="0"/>
            <w:vAlign w:val="center"/>
          </w:tcPr>
          <w:p>
            <w:pPr>
              <w:jc w:val="left"/>
              <w:rPr>
                <w:rFonts w:hint="eastAsia" w:asciiTheme="majorEastAsia" w:hAnsiTheme="majorEastAsia" w:eastAsiaTheme="majorEastAsia" w:cstheme="majorEastAsia"/>
                <w:b/>
                <w:bCs/>
                <w:spacing w:val="-19"/>
                <w:sz w:val="21"/>
                <w:szCs w:val="21"/>
                <w:vertAlign w:val="baseline"/>
                <w:lang w:val="en-US"/>
              </w:rPr>
            </w:pPr>
            <w:r>
              <w:rPr>
                <w:rFonts w:hint="eastAsia" w:asciiTheme="majorEastAsia" w:hAnsiTheme="majorEastAsia" w:eastAsiaTheme="majorEastAsia" w:cstheme="majorEastAsia"/>
                <w:b/>
                <w:bCs/>
                <w:sz w:val="21"/>
                <w:szCs w:val="21"/>
                <w:vertAlign w:val="baseline"/>
                <w:lang w:val="en-US" w:eastAsia="zh-CN"/>
              </w:rPr>
              <w:t>监测时间：2021年11月11日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vMerge w:val="restart"/>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检测项目</w:t>
            </w:r>
          </w:p>
        </w:tc>
        <w:tc>
          <w:tcPr>
            <w:tcW w:w="7129" w:type="dxa"/>
            <w:gridSpan w:val="6"/>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样品编号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vMerge w:val="continue"/>
            <w:noWrap w:val="0"/>
            <w:vAlign w:val="center"/>
          </w:tcPr>
          <w:p>
            <w:pPr>
              <w:jc w:val="center"/>
              <w:rPr>
                <w:rFonts w:hint="eastAsia" w:asciiTheme="majorEastAsia" w:hAnsiTheme="majorEastAsia" w:eastAsiaTheme="majorEastAsia" w:cstheme="majorEastAsia"/>
                <w:sz w:val="21"/>
                <w:szCs w:val="21"/>
              </w:rPr>
            </w:pP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Q-202111130-2-1</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Q-202111130-2-1</w:t>
            </w:r>
          </w:p>
          <w:p>
            <w:pPr>
              <w:jc w:val="center"/>
              <w:rPr>
                <w:rFonts w:hint="eastAsia" w:asciiTheme="majorEastAsia" w:hAnsiTheme="majorEastAsia" w:eastAsiaTheme="majorEastAsia" w:cstheme="majorEastAsia"/>
                <w:b w:val="0"/>
                <w:bCs w:val="0"/>
                <w:spacing w:val="0"/>
                <w:sz w:val="21"/>
                <w:szCs w:val="21"/>
                <w:vertAlign w:val="baseline"/>
              </w:rPr>
            </w:pPr>
            <w:r>
              <w:rPr>
                <w:rFonts w:hint="eastAsia" w:asciiTheme="majorEastAsia" w:hAnsiTheme="majorEastAsia" w:eastAsiaTheme="majorEastAsia" w:cstheme="majorEastAsia"/>
                <w:b w:val="0"/>
                <w:bCs w:val="0"/>
                <w:spacing w:val="0"/>
                <w:sz w:val="21"/>
                <w:szCs w:val="21"/>
                <w:vertAlign w:val="baseline"/>
                <w:lang w:val="en-US" w:eastAsia="zh-CN"/>
              </w:rPr>
              <w:t>(02)</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Q-202111130-2-1</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(03)</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Q-202111130-2-2</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w:t>
            </w:r>
          </w:p>
        </w:tc>
        <w:tc>
          <w:tcPr>
            <w:tcW w:w="1188"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Q-202111130-2-2</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(02)</w:t>
            </w:r>
          </w:p>
        </w:tc>
        <w:tc>
          <w:tcPr>
            <w:tcW w:w="1189" w:type="dxa"/>
            <w:noWrap w:val="0"/>
            <w:vAlign w:val="center"/>
          </w:tcPr>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Q-202111130-2-2</w:t>
            </w:r>
          </w:p>
          <w:p>
            <w:pPr>
              <w:jc w:val="center"/>
              <w:rPr>
                <w:rFonts w:hint="eastAsia"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排气筒高度（m）</w:t>
            </w:r>
          </w:p>
        </w:tc>
        <w:tc>
          <w:tcPr>
            <w:tcW w:w="3564"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w:t>
            </w:r>
          </w:p>
        </w:tc>
        <w:tc>
          <w:tcPr>
            <w:tcW w:w="3565"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截面积（m</w:t>
            </w:r>
            <w:r>
              <w:rPr>
                <w:rFonts w:hint="eastAsia" w:asciiTheme="majorEastAsia" w:hAnsiTheme="majorEastAsia" w:eastAsiaTheme="majorEastAsia" w:cstheme="majorEastAsia"/>
                <w:b/>
                <w:bCs/>
                <w:sz w:val="21"/>
                <w:szCs w:val="21"/>
                <w:vertAlign w:val="superscript"/>
                <w:lang w:val="en-US" w:eastAsia="zh-CN"/>
              </w:rPr>
              <w:t>2</w:t>
            </w:r>
            <w:r>
              <w:rPr>
                <w:rFonts w:hint="eastAsia" w:asciiTheme="majorEastAsia" w:hAnsiTheme="majorEastAsia" w:eastAsiaTheme="majorEastAsia" w:cstheme="majorEastAsia"/>
                <w:b/>
                <w:bCs/>
                <w:sz w:val="21"/>
                <w:szCs w:val="21"/>
                <w:vertAlign w:val="baseline"/>
                <w:lang w:val="en-US" w:eastAsia="zh-CN"/>
              </w:rPr>
              <w:t>）</w:t>
            </w:r>
          </w:p>
        </w:tc>
        <w:tc>
          <w:tcPr>
            <w:tcW w:w="3564"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0.5026</w:t>
            </w:r>
          </w:p>
        </w:tc>
        <w:tc>
          <w:tcPr>
            <w:tcW w:w="3565" w:type="dxa"/>
            <w:gridSpan w:val="3"/>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0.7088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温度（℃）</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37.7</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35.9</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34.7</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29.4</w:t>
            </w:r>
          </w:p>
        </w:tc>
        <w:tc>
          <w:tcPr>
            <w:tcW w:w="1188"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28.2</w:t>
            </w:r>
          </w:p>
        </w:tc>
        <w:tc>
          <w:tcPr>
            <w:tcW w:w="1189" w:type="dxa"/>
            <w:noWrap w:val="0"/>
            <w:vAlign w:val="center"/>
          </w:tcPr>
          <w:p>
            <w:pPr>
              <w:keepNext w:val="0"/>
              <w:keepLines w:val="0"/>
              <w:pageBreakBefore w:val="0"/>
              <w:widowControl w:val="0"/>
              <w:tabs>
                <w:tab w:val="left" w:pos="4626"/>
              </w:tabs>
              <w:kinsoku/>
              <w:wordWrap/>
              <w:overflowPunct/>
              <w:topLinePunct w:val="0"/>
              <w:autoSpaceDE/>
              <w:autoSpaceDN/>
              <w:bidi w:val="0"/>
              <w:adjustRightInd/>
              <w:snapToGrid/>
              <w:spacing w:line="240" w:lineRule="auto"/>
              <w:jc w:val="center"/>
              <w:textAlignment w:val="auto"/>
              <w:rPr>
                <w:rFonts w:hint="default"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大气压（Kpa）</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101.2</w:t>
            </w:r>
          </w:p>
        </w:tc>
        <w:tc>
          <w:tcPr>
            <w:tcW w:w="1188" w:type="dxa"/>
            <w:noWrap w:val="0"/>
            <w:vAlign w:val="center"/>
          </w:tcPr>
          <w:p>
            <w:pPr>
              <w:jc w:val="center"/>
              <w:rPr>
                <w:rFonts w:hint="default" w:asciiTheme="majorEastAsia" w:hAnsiTheme="majorEastAsia" w:eastAsiaTheme="majorEastAsia" w:cstheme="majorEastAsia"/>
                <w:kern w:val="2"/>
                <w:sz w:val="21"/>
                <w:szCs w:val="21"/>
                <w:lang w:val="en-US" w:eastAsia="zh-CN" w:bidi="ar-SA"/>
              </w:rPr>
            </w:pPr>
            <w:r>
              <w:rPr>
                <w:rFonts w:hint="eastAsia" w:asciiTheme="majorEastAsia" w:hAnsiTheme="majorEastAsia" w:eastAsiaTheme="majorEastAsia" w:cstheme="majorEastAsia"/>
                <w:kern w:val="2"/>
                <w:sz w:val="21"/>
                <w:szCs w:val="21"/>
                <w:lang w:val="en-US" w:eastAsia="zh-CN" w:bidi="ar-SA"/>
              </w:rPr>
              <w:t>101.3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101.1</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rPr>
            </w:pPr>
            <w:r>
              <w:rPr>
                <w:rFonts w:hint="eastAsia" w:asciiTheme="majorEastAsia" w:hAnsiTheme="majorEastAsia" w:eastAsiaTheme="majorEastAsia" w:cstheme="majorEastAsia"/>
                <w:b/>
                <w:bCs/>
                <w:sz w:val="21"/>
                <w:szCs w:val="21"/>
                <w:vertAlign w:val="baseline"/>
                <w:lang w:val="en-US" w:eastAsia="zh-CN"/>
              </w:rPr>
              <w:t>流速（m/s）</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4.6</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4.7</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3.9</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3.8</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31" w:type="dxa"/>
            <w:gridSpan w:val="2"/>
            <w:noWrap w:val="0"/>
            <w:vAlign w:val="center"/>
          </w:tcPr>
          <w:p>
            <w:pPr>
              <w:jc w:val="center"/>
              <w:rPr>
                <w:rFonts w:hint="eastAsia" w:asciiTheme="majorEastAsia" w:hAnsiTheme="majorEastAsia" w:eastAsiaTheme="majorEastAsia" w:cstheme="majorEastAsia"/>
                <w:b/>
                <w:bCs/>
                <w:spacing w:val="-19"/>
                <w:sz w:val="21"/>
                <w:szCs w:val="21"/>
                <w:vertAlign w:val="baseline"/>
              </w:rPr>
            </w:pPr>
            <w:r>
              <w:rPr>
                <w:rFonts w:hint="eastAsia" w:asciiTheme="majorEastAsia" w:hAnsiTheme="majorEastAsia" w:eastAsiaTheme="majorEastAsia" w:cstheme="majorEastAsia"/>
                <w:b/>
                <w:bCs/>
                <w:sz w:val="21"/>
                <w:szCs w:val="21"/>
                <w:vertAlign w:val="baseline"/>
                <w:lang w:val="en-US" w:eastAsia="zh-CN"/>
              </w:rPr>
              <w:t>标干流量(m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/h）</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6829</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7356</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7545</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8984</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8770</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9605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6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hint="default"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pacing w:val="-19"/>
                <w:sz w:val="21"/>
                <w:szCs w:val="21"/>
                <w:vertAlign w:val="baseline"/>
                <w:lang w:val="en-US" w:eastAsia="zh-CN"/>
              </w:rPr>
              <w:t>非甲烷总烃</w:t>
            </w:r>
          </w:p>
        </w:tc>
        <w:tc>
          <w:tcPr>
            <w:tcW w:w="1862" w:type="dxa"/>
            <w:noWrap w:val="0"/>
            <w:vAlign w:val="center"/>
          </w:tcPr>
          <w:p>
            <w:pPr>
              <w:jc w:val="center"/>
              <w:rPr>
                <w:rFonts w:hint="eastAsia" w:asciiTheme="majorEastAsia" w:hAnsiTheme="majorEastAsia" w:eastAsiaTheme="majorEastAsia" w:cstheme="majorEastAsia"/>
                <w:b/>
                <w:bCs/>
                <w:spacing w:val="-19"/>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实测浓度（mg/m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15.2</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15.4</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15.3</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4.22</w:t>
            </w:r>
          </w:p>
        </w:tc>
        <w:tc>
          <w:tcPr>
            <w:tcW w:w="1188"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4.49</w:t>
            </w:r>
          </w:p>
        </w:tc>
        <w:tc>
          <w:tcPr>
            <w:tcW w:w="1189" w:type="dxa"/>
            <w:noWrap w:val="0"/>
            <w:vAlign w:val="center"/>
          </w:tcPr>
          <w:p>
            <w:pPr>
              <w:jc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69" w:type="dxa"/>
            <w:vMerge w:val="continue"/>
            <w:noWrap w:val="0"/>
            <w:vAlign w:val="center"/>
          </w:tcPr>
          <w:p>
            <w:pPr>
              <w:jc w:val="center"/>
              <w:rPr>
                <w:rFonts w:hint="eastAsia" w:asciiTheme="majorEastAsia" w:hAnsiTheme="majorEastAsia" w:eastAsiaTheme="majorEastAsia" w:cstheme="majorEastAsia"/>
                <w:b/>
                <w:bCs/>
                <w:spacing w:val="-19"/>
                <w:sz w:val="21"/>
                <w:szCs w:val="21"/>
                <w:vertAlign w:val="baseline"/>
              </w:rPr>
            </w:pPr>
          </w:p>
        </w:tc>
        <w:tc>
          <w:tcPr>
            <w:tcW w:w="1862" w:type="dxa"/>
            <w:noWrap w:val="0"/>
            <w:vAlign w:val="center"/>
          </w:tcPr>
          <w:p>
            <w:pPr>
              <w:jc w:val="center"/>
              <w:rPr>
                <w:rFonts w:hint="eastAsia" w:asciiTheme="majorEastAsia" w:hAnsiTheme="majorEastAsia" w:eastAsiaTheme="majorEastAsia" w:cstheme="majorEastAsia"/>
                <w:b/>
                <w:bCs/>
                <w:spacing w:val="-19"/>
                <w:sz w:val="21"/>
                <w:szCs w:val="21"/>
                <w:vertAlign w:val="baseline"/>
                <w:lang w:val="en-US"/>
              </w:rPr>
            </w:pPr>
            <w:r>
              <w:rPr>
                <w:rFonts w:hint="eastAsia" w:asciiTheme="majorEastAsia" w:hAnsiTheme="majorEastAsia" w:eastAsiaTheme="majorEastAsia" w:cstheme="majorEastAsia"/>
                <w:b/>
                <w:bCs/>
                <w:sz w:val="21"/>
                <w:szCs w:val="21"/>
                <w:vertAlign w:val="baseline"/>
                <w:lang w:val="en-US" w:eastAsia="zh-CN"/>
              </w:rPr>
              <w:t>排放浓度（mg/m</w:t>
            </w:r>
            <w:r>
              <w:rPr>
                <w:rFonts w:hint="eastAsia" w:asciiTheme="majorEastAsia" w:hAnsiTheme="majorEastAsia" w:eastAsiaTheme="majorEastAsia" w:cstheme="majorEastAsia"/>
                <w:b/>
                <w:bCs/>
                <w:sz w:val="21"/>
                <w:szCs w:val="21"/>
                <w:vertAlign w:val="superscript"/>
                <w:lang w:val="en-US" w:eastAsia="zh-CN"/>
              </w:rPr>
              <w:t>3</w:t>
            </w:r>
            <w:r>
              <w:rPr>
                <w:rFonts w:hint="eastAsia" w:asciiTheme="majorEastAsia" w:hAnsiTheme="majorEastAsia" w:eastAsiaTheme="majorEastAsia" w:cstheme="majorEastAsia"/>
                <w:b/>
                <w:bCs/>
                <w:sz w:val="21"/>
                <w:szCs w:val="21"/>
                <w:vertAlign w:val="baseline"/>
                <w:lang w:val="en-US" w:eastAsia="zh-CN"/>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default"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kern w:val="2"/>
                <w:sz w:val="21"/>
                <w:szCs w:val="21"/>
                <w:vertAlign w:val="baseline"/>
                <w:lang w:val="en-US" w:eastAsia="zh-CN" w:bidi="ar-SA"/>
              </w:rPr>
              <w:t>-</w:t>
            </w:r>
          </w:p>
        </w:tc>
        <w:tc>
          <w:tcPr>
            <w:tcW w:w="1188" w:type="dxa"/>
            <w:noWrap w:val="0"/>
            <w:vAlign w:val="center"/>
          </w:tcPr>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4.22</w:t>
            </w:r>
          </w:p>
        </w:tc>
        <w:tc>
          <w:tcPr>
            <w:tcW w:w="1188" w:type="dxa"/>
            <w:noWrap w:val="0"/>
            <w:vAlign w:val="center"/>
          </w:tcPr>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4.49</w:t>
            </w:r>
          </w:p>
        </w:tc>
        <w:tc>
          <w:tcPr>
            <w:tcW w:w="1189" w:type="dxa"/>
            <w:noWrap w:val="0"/>
            <w:vAlign w:val="center"/>
          </w:tcPr>
          <w:p>
            <w:pPr>
              <w:jc w:val="center"/>
              <w:rPr>
                <w:rFonts w:hint="eastAsia" w:asciiTheme="majorEastAsia" w:hAnsiTheme="majorEastAsia" w:eastAsiaTheme="majorEastAsia" w:cstheme="majorEastAsia"/>
                <w:b w:val="0"/>
                <w:bCs w:val="0"/>
                <w:spacing w:val="0"/>
                <w:kern w:val="2"/>
                <w:sz w:val="21"/>
                <w:szCs w:val="21"/>
                <w:vertAlign w:val="baseline"/>
                <w:lang w:val="en-US" w:eastAsia="zh-CN" w:bidi="ar-SA"/>
              </w:rPr>
            </w:pPr>
            <w:r>
              <w:rPr>
                <w:rFonts w:hint="eastAsia" w:asciiTheme="majorEastAsia" w:hAnsiTheme="majorEastAsia" w:eastAsiaTheme="majorEastAsia" w:cstheme="majorEastAsia"/>
                <w:b w:val="0"/>
                <w:bCs w:val="0"/>
                <w:spacing w:val="0"/>
                <w:sz w:val="21"/>
                <w:szCs w:val="21"/>
                <w:vertAlign w:val="baseline"/>
                <w:lang w:val="en-US" w:eastAsia="zh-CN"/>
              </w:rPr>
              <w:t>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69" w:type="dxa"/>
            <w:vMerge w:val="continue"/>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p>
        </w:tc>
        <w:tc>
          <w:tcPr>
            <w:tcW w:w="1862" w:type="dxa"/>
            <w:noWrap w:val="0"/>
            <w:vAlign w:val="center"/>
          </w:tcPr>
          <w:p>
            <w:pPr>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排放速率（kg/h）</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0.104</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0.113</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0.115</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0.038</w:t>
            </w:r>
          </w:p>
        </w:tc>
        <w:tc>
          <w:tcPr>
            <w:tcW w:w="1188"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0.039</w:t>
            </w:r>
          </w:p>
        </w:tc>
        <w:tc>
          <w:tcPr>
            <w:tcW w:w="1189" w:type="dxa"/>
            <w:noWrap w:val="0"/>
            <w:vAlign w:val="center"/>
          </w:tcPr>
          <w:p>
            <w:pPr>
              <w:keepNext w:val="0"/>
              <w:keepLines w:val="0"/>
              <w:widowControl/>
              <w:suppressLineNumbers w:val="0"/>
              <w:jc w:val="center"/>
              <w:textAlignment w:val="center"/>
              <w:rPr>
                <w:rFonts w:hint="default" w:asciiTheme="majorEastAsia" w:hAnsiTheme="majorEastAsia" w:eastAsiaTheme="majorEastAsia" w:cstheme="majorEastAsia"/>
                <w:b w:val="0"/>
                <w:bCs w:val="0"/>
                <w:spacing w:val="0"/>
                <w:sz w:val="21"/>
                <w:szCs w:val="21"/>
                <w:vertAlign w:val="baseline"/>
                <w:lang w:val="en-US" w:eastAsia="zh-CN"/>
              </w:rPr>
            </w:pPr>
            <w:r>
              <w:rPr>
                <w:rFonts w:hint="eastAsia" w:asciiTheme="majorEastAsia" w:hAnsiTheme="majorEastAsia" w:eastAsiaTheme="majorEastAsia" w:cstheme="majorEastAsia"/>
                <w:b w:val="0"/>
                <w:bCs w:val="0"/>
                <w:spacing w:val="0"/>
                <w:sz w:val="21"/>
                <w:szCs w:val="21"/>
                <w:vertAlign w:val="baseline"/>
                <w:lang w:val="en-US" w:eastAsia="zh-CN"/>
              </w:rPr>
              <w:t>0.041</w:t>
            </w:r>
          </w:p>
        </w:tc>
      </w:tr>
    </w:tbl>
    <w:p>
      <w:pPr>
        <w:keepNext/>
        <w:keepLines/>
        <w:pageBreakBefore w:val="0"/>
        <w:widowControl w:val="0"/>
        <w:kinsoku/>
        <w:wordWrap/>
        <w:overflowPunct/>
        <w:topLinePunct w:val="0"/>
        <w:autoSpaceDE/>
        <w:autoSpaceDN/>
        <w:bidi w:val="0"/>
        <w:adjustRightInd/>
        <w:snapToGrid/>
        <w:spacing w:before="0" w:after="0" w:line="520" w:lineRule="exact"/>
        <w:textAlignment w:val="auto"/>
        <w:outlineLvl w:val="9"/>
        <w:rPr>
          <w:rFonts w:ascii="Times New Roman" w:hAnsi="Times New Roman" w:eastAsia="宋体" w:cs="Times New Roman"/>
          <w:b w:val="0"/>
          <w:bCs w:val="0"/>
          <w:sz w:val="24"/>
          <w:szCs w:val="20"/>
        </w:rPr>
      </w:pPr>
      <w:r>
        <w:rPr>
          <w:rFonts w:hint="eastAsia" w:ascii="Times New Roman" w:hAnsi="Times New Roman" w:eastAsia="宋体" w:cs="Times New Roman"/>
          <w:b w:val="0"/>
          <w:bCs w:val="0"/>
          <w:sz w:val="24"/>
          <w:szCs w:val="20"/>
        </w:rPr>
        <w:t>有组织废气污染物处理效率见表9.2-</w:t>
      </w:r>
      <w:r>
        <w:rPr>
          <w:rFonts w:hint="eastAsia" w:ascii="Times New Roman" w:hAnsi="Times New Roman" w:eastAsia="宋体" w:cs="Times New Roman"/>
          <w:b w:val="0"/>
          <w:bCs w:val="0"/>
          <w:sz w:val="24"/>
          <w:szCs w:val="20"/>
          <w:lang w:val="en-US" w:eastAsia="zh-CN"/>
        </w:rPr>
        <w:t>3</w:t>
      </w:r>
      <w:r>
        <w:rPr>
          <w:rFonts w:hint="eastAsia" w:ascii="Times New Roman" w:hAnsi="Times New Roman" w:eastAsia="宋体" w:cs="Times New Roman"/>
          <w:b w:val="0"/>
          <w:bCs w:val="0"/>
          <w:sz w:val="24"/>
          <w:szCs w:val="20"/>
        </w:rPr>
        <w:t>：</w:t>
      </w:r>
    </w:p>
    <w:p>
      <w:pPr>
        <w:pStyle w:val="104"/>
        <w:ind w:left="0" w:leftChars="0" w:firstLine="480" w:firstLineChars="200"/>
        <w:rPr>
          <w:rFonts w:ascii="Times New Roman" w:hAnsi="Times New Roman" w:eastAsia="宋体"/>
        </w:rPr>
      </w:pPr>
      <w:r>
        <w:rPr>
          <w:rFonts w:hint="eastAsia" w:ascii="Times New Roman" w:hAnsi="Times New Roman" w:eastAsia="宋体"/>
        </w:rPr>
        <w:t>表9</w:t>
      </w:r>
      <w:r>
        <w:rPr>
          <w:rFonts w:ascii="Times New Roman" w:hAnsi="Times New Roman" w:eastAsia="宋体"/>
        </w:rPr>
        <w:t>.2</w:t>
      </w:r>
      <w:r>
        <w:rPr>
          <w:rFonts w:hint="eastAsia" w:ascii="Times New Roman" w:hAnsi="Times New Roman" w:eastAsia="宋体"/>
        </w:rPr>
        <w:t>-</w:t>
      </w:r>
      <w:r>
        <w:rPr>
          <w:rFonts w:hint="eastAsia" w:ascii="Times New Roman" w:hAnsi="Times New Roman" w:eastAsia="宋体"/>
          <w:lang w:val="en-US" w:eastAsia="zh-CN"/>
        </w:rPr>
        <w:t>1</w:t>
      </w:r>
      <w:r>
        <w:rPr>
          <w:rFonts w:hint="eastAsia" w:ascii="Times New Roman" w:hAnsi="Times New Roman" w:eastAsia="宋体"/>
        </w:rPr>
        <w:t>~9.2-</w:t>
      </w:r>
      <w:r>
        <w:rPr>
          <w:rFonts w:hint="eastAsia"/>
          <w:lang w:val="en-US" w:eastAsia="zh-CN"/>
        </w:rPr>
        <w:t>2</w:t>
      </w:r>
      <w:r>
        <w:rPr>
          <w:rFonts w:hint="eastAsia" w:ascii="Times New Roman" w:hAnsi="Times New Roman" w:eastAsia="宋体"/>
        </w:rPr>
        <w:t>监测结果表明：验收监测期间，</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w:t>
      </w:r>
      <w:r>
        <w:rPr>
          <w:rFonts w:hint="eastAsia" w:ascii="Times New Roman" w:hAnsi="Times New Roman" w:eastAsia="宋体"/>
        </w:rPr>
        <w:t>装置出口</w:t>
      </w:r>
      <w:r>
        <w:rPr>
          <w:rFonts w:hint="eastAsia" w:ascii="Times New Roman" w:hAnsi="Times New Roman" w:eastAsia="宋体"/>
          <w:lang w:eastAsia="zh-CN"/>
        </w:rPr>
        <w:t>非甲烷总烃</w:t>
      </w:r>
      <w:r>
        <w:rPr>
          <w:rFonts w:hint="eastAsia" w:ascii="Times New Roman" w:hAnsi="Times New Roman" w:eastAsia="宋体"/>
        </w:rPr>
        <w:t>最大排放浓度为</w:t>
      </w:r>
      <w:r>
        <w:rPr>
          <w:rFonts w:hint="eastAsia"/>
          <w:lang w:val="en-US" w:eastAsia="zh-CN"/>
        </w:rPr>
        <w:t>4.53</w:t>
      </w:r>
      <w:r>
        <w:rPr>
          <w:rFonts w:ascii="Times New Roman" w:hAnsi="Times New Roman" w:eastAsia="宋体"/>
          <w:color w:val="auto"/>
        </w:rPr>
        <w:t>mg/m</w:t>
      </w:r>
      <w:r>
        <w:rPr>
          <w:rFonts w:ascii="Times New Roman" w:hAnsi="Times New Roman" w:eastAsia="宋体"/>
          <w:color w:val="auto"/>
          <w:vertAlign w:val="superscript"/>
        </w:rPr>
        <w:t>3</w:t>
      </w:r>
      <w:r>
        <w:rPr>
          <w:rFonts w:hint="eastAsia" w:ascii="Times New Roman" w:hAnsi="Times New Roman" w:eastAsia="宋体"/>
          <w:color w:val="auto"/>
        </w:rPr>
        <w:t>，</w:t>
      </w:r>
      <w:r>
        <w:rPr>
          <w:rFonts w:hint="eastAsia" w:ascii="Times New Roman" w:hAnsi="Times New Roman" w:eastAsia="宋体"/>
        </w:rPr>
        <w:t>符合</w:t>
      </w:r>
      <w:r>
        <w:rPr>
          <w:rFonts w:hint="default" w:ascii="Times New Roman" w:hAnsi="Times New Roman" w:eastAsia="宋体" w:cs="Times New Roman"/>
          <w:kern w:val="0"/>
          <w:sz w:val="24"/>
        </w:rPr>
        <w:t>《合成树脂工业污染物排放标准》（GB31572-2015）表5中“大气污染物特别排放限值</w:t>
      </w:r>
      <w:r>
        <w:rPr>
          <w:rFonts w:hint="eastAsia" w:ascii="Times New Roman" w:hAnsi="Times New Roman" w:eastAsia="宋体"/>
          <w:szCs w:val="24"/>
        </w:rPr>
        <w:t>要求</w:t>
      </w:r>
      <w:r>
        <w:rPr>
          <w:rFonts w:hint="eastAsia" w:ascii="Times New Roman" w:hAnsi="Times New Roman" w:eastAsia="宋体"/>
          <w:szCs w:val="24"/>
          <w:lang w:eastAsia="zh-CN"/>
        </w:rPr>
        <w:t>；</w:t>
      </w:r>
      <w:r>
        <w:rPr>
          <w:rFonts w:hint="eastAsia" w:ascii="Times New Roman" w:hAnsi="Times New Roman" w:eastAsia="宋体"/>
        </w:rPr>
        <w:t>。</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olor w:val="auto"/>
          <w:lang w:eastAsia="zh-CN"/>
        </w:rPr>
      </w:pPr>
      <w:bookmarkStart w:id="137" w:name="_Toc14754"/>
      <w:r>
        <w:rPr>
          <w:rFonts w:ascii="Times New Roman" w:hAnsi="Times New Roman" w:eastAsia="宋体"/>
          <w:color w:val="auto"/>
        </w:rPr>
        <w:t>9.</w:t>
      </w:r>
      <w:bookmarkEnd w:id="135"/>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无组织废气监测结果</w:t>
      </w:r>
      <w:bookmarkEnd w:id="137"/>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rPr>
        <w:t>监测期间气象参数详见表9.</w:t>
      </w:r>
      <w:r>
        <w:rPr>
          <w:rFonts w:hint="eastAsia" w:ascii="Times New Roman" w:hAnsi="Times New Roman" w:eastAsia="宋体"/>
          <w:color w:val="auto"/>
          <w:lang w:val="en-US" w:eastAsia="zh-CN"/>
        </w:rPr>
        <w:t>3</w:t>
      </w:r>
      <w:r>
        <w:rPr>
          <w:rFonts w:hint="eastAsia" w:ascii="Times New Roman" w:hAnsi="Times New Roman" w:eastAsia="宋体"/>
          <w:color w:val="auto"/>
        </w:rPr>
        <w:t>-</w:t>
      </w:r>
      <w:r>
        <w:rPr>
          <w:rFonts w:hint="eastAsia" w:ascii="Times New Roman" w:hAnsi="Times New Roman" w:eastAsia="宋体"/>
          <w:color w:val="auto"/>
          <w:lang w:val="en-US" w:eastAsia="zh-CN"/>
        </w:rPr>
        <w:t>1</w:t>
      </w:r>
      <w:r>
        <w:rPr>
          <w:rFonts w:hint="eastAsia" w:ascii="Times New Roman" w:hAnsi="Times New Roman" w:eastAsia="宋体"/>
          <w:color w:val="auto"/>
        </w:rPr>
        <w:t>：</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olor w:val="auto"/>
        </w:rPr>
      </w:pPr>
      <w:r>
        <w:rPr>
          <w:rFonts w:ascii="Times New Roman" w:hAnsi="Times New Roman" w:eastAsia="宋体" w:cs="Times New Roman"/>
          <w:b/>
          <w:color w:val="auto"/>
          <w:szCs w:val="21"/>
        </w:rPr>
        <w:t>表9.</w:t>
      </w:r>
      <w:r>
        <w:rPr>
          <w:rFonts w:hint="eastAsia" w:ascii="Times New Roman" w:hAnsi="Times New Roman" w:eastAsia="宋体" w:cs="Times New Roman"/>
          <w:b/>
          <w:color w:val="auto"/>
          <w:szCs w:val="21"/>
          <w:lang w:val="en-US" w:eastAsia="zh-CN"/>
        </w:rPr>
        <w:t>3</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1</w:t>
      </w:r>
      <w:r>
        <w:rPr>
          <w:rFonts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rPr>
        <w:t>监测期间气象参数</w:t>
      </w:r>
      <w:r>
        <w:rPr>
          <w:rFonts w:ascii="Times New Roman" w:hAnsi="Times New Roman" w:eastAsia="宋体" w:cs="Times New Roman"/>
          <w:b/>
          <w:color w:val="auto"/>
          <w:szCs w:val="21"/>
        </w:rPr>
        <w:t>表</w:t>
      </w:r>
    </w:p>
    <w:tbl>
      <w:tblPr>
        <w:tblStyle w:val="30"/>
        <w:tblW w:w="9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1421"/>
        <w:gridCol w:w="1450"/>
        <w:gridCol w:w="1063"/>
        <w:gridCol w:w="1213"/>
        <w:gridCol w:w="1125"/>
        <w:gridCol w:w="1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noWrap w:val="0"/>
            <w:vAlign w:val="center"/>
          </w:tcPr>
          <w:p>
            <w:pPr>
              <w:pStyle w:val="9"/>
              <w:jc w:val="center"/>
              <w:rPr>
                <w:rFonts w:hint="eastAsia" w:ascii="宋体" w:eastAsia="宋体"/>
                <w:b/>
                <w:sz w:val="21"/>
                <w:szCs w:val="21"/>
                <w:vertAlign w:val="baseline"/>
                <w:lang w:val="en-US" w:eastAsia="zh-CN"/>
              </w:rPr>
            </w:pPr>
            <w:r>
              <w:rPr>
                <w:rFonts w:hint="eastAsia"/>
                <w:b/>
                <w:sz w:val="21"/>
                <w:szCs w:val="21"/>
                <w:vertAlign w:val="baseline"/>
                <w:lang w:val="en-US" w:eastAsia="zh-CN"/>
              </w:rPr>
              <w:t>监测日期</w:t>
            </w:r>
          </w:p>
        </w:tc>
        <w:tc>
          <w:tcPr>
            <w:tcW w:w="1421" w:type="dxa"/>
            <w:noWrap w:val="0"/>
            <w:vAlign w:val="center"/>
          </w:tcPr>
          <w:p>
            <w:pPr>
              <w:pStyle w:val="9"/>
              <w:jc w:val="center"/>
              <w:rPr>
                <w:rFonts w:hint="default"/>
                <w:b/>
                <w:sz w:val="21"/>
                <w:szCs w:val="21"/>
                <w:vertAlign w:val="baseline"/>
                <w:lang w:val="en-US" w:eastAsia="zh-CN"/>
              </w:rPr>
            </w:pPr>
            <w:r>
              <w:rPr>
                <w:rFonts w:hint="eastAsia"/>
                <w:b/>
                <w:sz w:val="21"/>
                <w:szCs w:val="21"/>
                <w:vertAlign w:val="baseline"/>
                <w:lang w:val="en-US" w:eastAsia="zh-CN"/>
              </w:rPr>
              <w:t>监测点位</w:t>
            </w:r>
          </w:p>
        </w:tc>
        <w:tc>
          <w:tcPr>
            <w:tcW w:w="1450" w:type="dxa"/>
            <w:noWrap w:val="0"/>
            <w:vAlign w:val="center"/>
          </w:tcPr>
          <w:p>
            <w:pPr>
              <w:widowControl/>
              <w:snapToGrid w:val="0"/>
              <w:spacing w:line="240" w:lineRule="exact"/>
              <w:jc w:val="center"/>
              <w:rPr>
                <w:rFonts w:hint="eastAsia" w:ascii="宋体" w:eastAsia="宋体"/>
                <w:b/>
                <w:sz w:val="32"/>
                <w:vertAlign w:val="baseline"/>
                <w:lang w:val="en-US" w:eastAsia="zh-CN"/>
              </w:rPr>
            </w:pPr>
            <w:r>
              <w:rPr>
                <w:rFonts w:hint="eastAsia" w:ascii="宋体" w:hAnsi="宋体" w:cs="宋体"/>
                <w:b/>
                <w:szCs w:val="21"/>
                <w:lang w:val="zh-CN"/>
              </w:rPr>
              <w:t>天气状况</w:t>
            </w:r>
          </w:p>
        </w:tc>
        <w:tc>
          <w:tcPr>
            <w:tcW w:w="1063" w:type="dxa"/>
            <w:noWrap w:val="0"/>
            <w:vAlign w:val="center"/>
          </w:tcPr>
          <w:p>
            <w:pPr>
              <w:widowControl/>
              <w:snapToGrid w:val="0"/>
              <w:spacing w:line="240" w:lineRule="exact"/>
              <w:jc w:val="center"/>
              <w:rPr>
                <w:rFonts w:hint="eastAsia" w:ascii="宋体" w:eastAsia="宋体"/>
                <w:b/>
                <w:sz w:val="32"/>
                <w:vertAlign w:val="baseline"/>
                <w:lang w:val="en-US" w:eastAsia="zh-CN"/>
              </w:rPr>
            </w:pPr>
            <w:r>
              <w:rPr>
                <w:rFonts w:hint="eastAsia" w:ascii="宋体" w:hAnsi="宋体" w:cs="宋体"/>
                <w:b/>
                <w:szCs w:val="21"/>
                <w:lang w:val="zh-CN"/>
              </w:rPr>
              <w:t>风向</w:t>
            </w:r>
          </w:p>
        </w:tc>
        <w:tc>
          <w:tcPr>
            <w:tcW w:w="1213" w:type="dxa"/>
            <w:noWrap w:val="0"/>
            <w:vAlign w:val="center"/>
          </w:tcPr>
          <w:p>
            <w:pPr>
              <w:widowControl/>
              <w:snapToGrid w:val="0"/>
              <w:spacing w:line="240" w:lineRule="exact"/>
              <w:jc w:val="center"/>
              <w:rPr>
                <w:rFonts w:hint="eastAsia" w:ascii="宋体" w:eastAsia="宋体"/>
                <w:b/>
                <w:sz w:val="32"/>
                <w:vertAlign w:val="baseline"/>
                <w:lang w:val="en-US" w:eastAsia="zh-CN"/>
              </w:rPr>
            </w:pPr>
            <w:r>
              <w:rPr>
                <w:rFonts w:hint="eastAsia" w:ascii="宋体" w:hAnsi="宋体" w:cs="宋体"/>
                <w:b/>
                <w:szCs w:val="21"/>
              </w:rPr>
              <w:t>风速（m/s）</w:t>
            </w:r>
          </w:p>
        </w:tc>
        <w:tc>
          <w:tcPr>
            <w:tcW w:w="1125" w:type="dxa"/>
            <w:noWrap w:val="0"/>
            <w:vAlign w:val="center"/>
          </w:tcPr>
          <w:p>
            <w:pPr>
              <w:widowControl/>
              <w:snapToGrid w:val="0"/>
              <w:spacing w:line="240" w:lineRule="exact"/>
              <w:jc w:val="center"/>
              <w:rPr>
                <w:rFonts w:hint="eastAsia" w:ascii="宋体" w:eastAsia="宋体"/>
                <w:b/>
                <w:sz w:val="32"/>
                <w:vertAlign w:val="baseline"/>
                <w:lang w:val="en-US" w:eastAsia="zh-CN"/>
              </w:rPr>
            </w:pPr>
            <w:r>
              <w:rPr>
                <w:rFonts w:hint="eastAsia" w:ascii="宋体" w:hAnsi="宋体" w:cs="宋体"/>
                <w:b/>
                <w:szCs w:val="21"/>
                <w:lang w:val="zh-CN"/>
              </w:rPr>
              <w:t>温度（℃）</w:t>
            </w:r>
          </w:p>
        </w:tc>
        <w:tc>
          <w:tcPr>
            <w:tcW w:w="1196" w:type="dxa"/>
            <w:noWrap w:val="0"/>
            <w:vAlign w:val="center"/>
          </w:tcPr>
          <w:p>
            <w:pPr>
              <w:widowControl/>
              <w:snapToGrid w:val="0"/>
              <w:spacing w:line="240" w:lineRule="exact"/>
              <w:jc w:val="center"/>
              <w:rPr>
                <w:rFonts w:hint="eastAsia" w:ascii="宋体" w:eastAsia="宋体"/>
                <w:b/>
                <w:sz w:val="32"/>
                <w:vertAlign w:val="baseline"/>
                <w:lang w:val="en-US" w:eastAsia="zh-CN"/>
              </w:rPr>
            </w:pPr>
            <w:r>
              <w:rPr>
                <w:rFonts w:hint="eastAsia" w:ascii="宋体" w:hAnsi="宋体" w:cs="宋体"/>
                <w:b/>
                <w:szCs w:val="21"/>
                <w:lang w:val="zh-CN"/>
              </w:rPr>
              <w:t>气压（kPa）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restart"/>
            <w:noWrap w:val="0"/>
            <w:vAlign w:val="center"/>
          </w:tcPr>
          <w:p>
            <w:pPr>
              <w:pStyle w:val="9"/>
              <w:jc w:val="center"/>
              <w:rPr>
                <w:rFonts w:hint="default" w:ascii="宋体" w:eastAsia="宋体"/>
                <w:b w:val="0"/>
                <w:bCs w:val="0"/>
                <w:sz w:val="21"/>
                <w:szCs w:val="21"/>
                <w:vertAlign w:val="baseline"/>
                <w:lang w:val="en-US" w:eastAsia="zh-CN"/>
              </w:rPr>
            </w:pPr>
            <w:r>
              <w:rPr>
                <w:rFonts w:hint="eastAsia" w:ascii="宋体" w:hAnsi="宋体"/>
                <w:b/>
                <w:color w:val="000000"/>
                <w:sz w:val="21"/>
                <w:szCs w:val="21"/>
                <w:lang w:val="en-US" w:eastAsia="zh-CN"/>
              </w:rPr>
              <w:t>2021年</w:t>
            </w:r>
            <w:r>
              <w:rPr>
                <w:rFonts w:hint="eastAsia"/>
                <w:b/>
                <w:color w:val="000000"/>
                <w:sz w:val="21"/>
                <w:szCs w:val="21"/>
                <w:lang w:val="en-US" w:eastAsia="zh-CN"/>
              </w:rPr>
              <w:t>11</w:t>
            </w:r>
            <w:r>
              <w:rPr>
                <w:rFonts w:hint="eastAsia" w:ascii="宋体" w:hAnsi="宋体"/>
                <w:b/>
                <w:color w:val="000000"/>
                <w:sz w:val="21"/>
                <w:szCs w:val="21"/>
                <w:lang w:val="en-US" w:eastAsia="zh-CN"/>
              </w:rPr>
              <w:t>月</w:t>
            </w:r>
            <w:r>
              <w:rPr>
                <w:rFonts w:hint="eastAsia"/>
                <w:b/>
                <w:color w:val="000000"/>
                <w:sz w:val="21"/>
                <w:szCs w:val="21"/>
                <w:lang w:val="en-US" w:eastAsia="zh-CN"/>
              </w:rPr>
              <w:t>10</w:t>
            </w:r>
            <w:r>
              <w:rPr>
                <w:rFonts w:hint="eastAsia" w:ascii="宋体" w:hAnsi="宋体"/>
                <w:b/>
                <w:color w:val="000000"/>
                <w:sz w:val="21"/>
                <w:szCs w:val="21"/>
                <w:lang w:val="en-US" w:eastAsia="zh-CN"/>
              </w:rPr>
              <w:t>日</w:t>
            </w:r>
          </w:p>
        </w:tc>
        <w:tc>
          <w:tcPr>
            <w:tcW w:w="1421" w:type="dxa"/>
            <w:vMerge w:val="restart"/>
            <w:noWrap w:val="0"/>
            <w:vAlign w:val="center"/>
          </w:tcPr>
          <w:p>
            <w:pPr>
              <w:pStyle w:val="9"/>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sz w:val="21"/>
                <w:szCs w:val="21"/>
                <w:vertAlign w:val="baseline"/>
                <w:lang w:val="en-US" w:eastAsia="zh-CN"/>
              </w:rPr>
              <w:t>上风向参照点</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18.3</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17.9</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rPr>
                <w:rFonts w:hint="eastAsia" w:ascii="宋体" w:eastAsia="宋体"/>
                <w:b w:val="0"/>
                <w:bCs w:val="0"/>
                <w:sz w:val="21"/>
                <w:szCs w:val="21"/>
                <w:vertAlign w:val="baseline"/>
                <w:lang w:val="en-US" w:eastAsia="zh-CN"/>
              </w:rPr>
            </w:pPr>
          </w:p>
        </w:tc>
        <w:tc>
          <w:tcPr>
            <w:tcW w:w="1421" w:type="dxa"/>
            <w:vMerge w:val="restart"/>
            <w:noWrap w:val="0"/>
            <w:vAlign w:val="center"/>
          </w:tcPr>
          <w:p>
            <w:pPr>
              <w:pStyle w:val="9"/>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sz w:val="21"/>
                <w:szCs w:val="21"/>
                <w:vertAlign w:val="baseline"/>
                <w:lang w:val="en-US" w:eastAsia="zh-CN"/>
              </w:rPr>
              <w:t>下风向监控点1#</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18.5</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17.7</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17.2</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rPr>
                <w:rFonts w:hint="eastAsia" w:ascii="宋体" w:eastAsia="宋体"/>
                <w:b w:val="0"/>
                <w:bCs w:val="0"/>
                <w:sz w:val="21"/>
                <w:szCs w:val="21"/>
                <w:vertAlign w:val="baseline"/>
                <w:lang w:val="en-US" w:eastAsia="zh-CN"/>
              </w:rPr>
            </w:pPr>
          </w:p>
        </w:tc>
        <w:tc>
          <w:tcPr>
            <w:tcW w:w="1421" w:type="dxa"/>
            <w:vMerge w:val="restart"/>
            <w:noWrap w:val="0"/>
            <w:vAlign w:val="center"/>
          </w:tcPr>
          <w:p>
            <w:pPr>
              <w:pStyle w:val="9"/>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sz w:val="21"/>
                <w:szCs w:val="21"/>
                <w:vertAlign w:val="baseline"/>
                <w:lang w:val="en-US" w:eastAsia="zh-CN"/>
              </w:rPr>
              <w:t>下风向监控点2#</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17.4</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1.3</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1.3</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16.9</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rPr>
                <w:rFonts w:hint="eastAsia" w:ascii="宋体" w:eastAsia="宋体"/>
                <w:b w:val="0"/>
                <w:bCs w:val="0"/>
                <w:sz w:val="21"/>
                <w:szCs w:val="21"/>
                <w:vertAlign w:val="baseline"/>
                <w:lang w:val="en-US" w:eastAsia="zh-CN"/>
              </w:rPr>
            </w:pPr>
          </w:p>
        </w:tc>
        <w:tc>
          <w:tcPr>
            <w:tcW w:w="1421" w:type="dxa"/>
            <w:vMerge w:val="restart"/>
            <w:noWrap w:val="0"/>
            <w:vAlign w:val="center"/>
          </w:tcPr>
          <w:p>
            <w:pPr>
              <w:pStyle w:val="9"/>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sz w:val="21"/>
                <w:szCs w:val="21"/>
                <w:vertAlign w:val="baseline"/>
                <w:lang w:val="en-US" w:eastAsia="zh-CN"/>
              </w:rPr>
              <w:t>下风向监控点3#</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16.7</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16.6</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16.4</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restart"/>
            <w:noWrap w:val="0"/>
            <w:vAlign w:val="center"/>
          </w:tcPr>
          <w:p>
            <w:pPr>
              <w:pStyle w:val="9"/>
              <w:jc w:val="center"/>
              <w:rPr>
                <w:rFonts w:hint="eastAsia" w:ascii="宋体" w:hAnsi="宋体" w:eastAsia="宋体" w:cs="宋体"/>
              </w:rPr>
            </w:pPr>
            <w:r>
              <w:rPr>
                <w:rFonts w:hint="eastAsia" w:ascii="宋体" w:hAnsi="宋体" w:eastAsia="宋体" w:cs="宋体"/>
                <w:sz w:val="21"/>
                <w:szCs w:val="21"/>
                <w:lang w:val="en-US" w:eastAsia="zh-CN"/>
              </w:rPr>
              <w:t>厂房</w:t>
            </w:r>
            <w:r>
              <w:rPr>
                <w:rFonts w:hint="eastAsia" w:cs="宋体"/>
                <w:sz w:val="21"/>
                <w:szCs w:val="21"/>
                <w:lang w:val="en-US" w:eastAsia="zh-CN"/>
              </w:rPr>
              <w:t>外</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15.9</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1.1</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15.7</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restart"/>
            <w:noWrap w:val="0"/>
            <w:vAlign w:val="center"/>
          </w:tcPr>
          <w:p>
            <w:pPr>
              <w:pStyle w:val="9"/>
              <w:jc w:val="center"/>
            </w:pPr>
            <w:r>
              <w:rPr>
                <w:rFonts w:hint="eastAsia" w:ascii="宋体" w:hAnsi="宋体"/>
                <w:b/>
                <w:color w:val="000000"/>
                <w:sz w:val="21"/>
                <w:szCs w:val="21"/>
                <w:lang w:val="en-US" w:eastAsia="zh-CN"/>
              </w:rPr>
              <w:t>2021年</w:t>
            </w:r>
            <w:r>
              <w:rPr>
                <w:rFonts w:hint="eastAsia"/>
                <w:b/>
                <w:color w:val="000000"/>
                <w:sz w:val="21"/>
                <w:szCs w:val="21"/>
                <w:lang w:val="en-US" w:eastAsia="zh-CN"/>
              </w:rPr>
              <w:t>11</w:t>
            </w:r>
            <w:r>
              <w:rPr>
                <w:rFonts w:hint="eastAsia" w:ascii="宋体" w:hAnsi="宋体"/>
                <w:b/>
                <w:color w:val="000000"/>
                <w:sz w:val="21"/>
                <w:szCs w:val="21"/>
                <w:lang w:val="en-US" w:eastAsia="zh-CN"/>
              </w:rPr>
              <w:t>月</w:t>
            </w:r>
            <w:r>
              <w:rPr>
                <w:rFonts w:hint="eastAsia"/>
                <w:b/>
                <w:color w:val="000000"/>
                <w:sz w:val="21"/>
                <w:szCs w:val="21"/>
                <w:lang w:val="en-US" w:eastAsia="zh-CN"/>
              </w:rPr>
              <w:t>11</w:t>
            </w:r>
            <w:r>
              <w:rPr>
                <w:rFonts w:hint="eastAsia" w:ascii="宋体" w:hAnsi="宋体"/>
                <w:b/>
                <w:color w:val="000000"/>
                <w:sz w:val="21"/>
                <w:szCs w:val="21"/>
                <w:lang w:val="en-US" w:eastAsia="zh-CN"/>
              </w:rPr>
              <w:t>日</w:t>
            </w:r>
          </w:p>
        </w:tc>
        <w:tc>
          <w:tcPr>
            <w:tcW w:w="1421" w:type="dxa"/>
            <w:vMerge w:val="restart"/>
            <w:noWrap w:val="0"/>
            <w:vAlign w:val="center"/>
          </w:tcPr>
          <w:p>
            <w:pPr>
              <w:pStyle w:val="9"/>
              <w:jc w:val="center"/>
              <w:rPr>
                <w:rFonts w:hint="eastAsia" w:ascii="宋体" w:hAnsi="宋体" w:eastAsia="宋体" w:cs="宋体"/>
              </w:rPr>
            </w:pPr>
            <w:r>
              <w:rPr>
                <w:rFonts w:hint="eastAsia" w:ascii="宋体" w:hAnsi="宋体" w:eastAsia="宋体" w:cs="宋体"/>
                <w:sz w:val="21"/>
                <w:szCs w:val="21"/>
                <w:vertAlign w:val="baseline"/>
                <w:lang w:val="en-US" w:eastAsia="zh-CN"/>
              </w:rPr>
              <w:t>上风向参照点</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18.3</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18.6</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restart"/>
            <w:noWrap w:val="0"/>
            <w:vAlign w:val="center"/>
          </w:tcPr>
          <w:p>
            <w:pPr>
              <w:pStyle w:val="9"/>
              <w:jc w:val="center"/>
              <w:rPr>
                <w:rFonts w:hint="eastAsia" w:ascii="宋体" w:hAnsi="宋体" w:eastAsia="宋体" w:cs="宋体"/>
              </w:rPr>
            </w:pPr>
            <w:r>
              <w:rPr>
                <w:rFonts w:hint="eastAsia" w:ascii="宋体" w:hAnsi="宋体" w:eastAsia="宋体" w:cs="宋体"/>
                <w:sz w:val="21"/>
                <w:szCs w:val="21"/>
                <w:vertAlign w:val="baseline"/>
                <w:lang w:val="en-US" w:eastAsia="zh-CN"/>
              </w:rPr>
              <w:t>下风向监控点1#</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19.1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1.3</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19.2</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20.1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restart"/>
            <w:noWrap w:val="0"/>
            <w:vAlign w:val="center"/>
          </w:tcPr>
          <w:p>
            <w:pPr>
              <w:pStyle w:val="9"/>
              <w:jc w:val="center"/>
              <w:rPr>
                <w:rFonts w:hint="eastAsia" w:ascii="宋体" w:hAnsi="宋体" w:eastAsia="宋体" w:cs="宋体"/>
              </w:rPr>
            </w:pPr>
            <w:r>
              <w:rPr>
                <w:rFonts w:hint="eastAsia" w:ascii="宋体" w:hAnsi="宋体" w:eastAsia="宋体" w:cs="宋体"/>
                <w:sz w:val="21"/>
                <w:szCs w:val="21"/>
                <w:vertAlign w:val="baseline"/>
                <w:lang w:val="en-US" w:eastAsia="zh-CN"/>
              </w:rPr>
              <w:t>下风向监控点2#</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20.2</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19.8</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rPr>
                <w:rFonts w:hint="eastAsia" w:ascii="宋体" w:hAnsi="宋体" w:eastAsia="宋体" w:cs="宋体"/>
              </w:rP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19.6</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restart"/>
            <w:noWrap w:val="0"/>
            <w:vAlign w:val="center"/>
          </w:tcPr>
          <w:p>
            <w:pPr>
              <w:pStyle w:val="9"/>
              <w:jc w:val="center"/>
              <w:rPr>
                <w:rFonts w:hint="eastAsia" w:ascii="宋体" w:hAnsi="宋体" w:eastAsia="宋体" w:cs="宋体"/>
              </w:rPr>
            </w:pPr>
            <w:r>
              <w:rPr>
                <w:rFonts w:hint="eastAsia" w:ascii="宋体" w:hAnsi="宋体" w:eastAsia="宋体" w:cs="宋体"/>
                <w:sz w:val="21"/>
                <w:szCs w:val="21"/>
                <w:vertAlign w:val="baseline"/>
                <w:lang w:val="en-US" w:eastAsia="zh-CN"/>
              </w:rPr>
              <w:t>下风向监控点3#</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19.3</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18.7</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center"/>
          </w:tcPr>
          <w:p>
            <w:pPr>
              <w:pStyle w:val="9"/>
              <w:jc w:val="center"/>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1.4</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18.5</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restart"/>
            <w:noWrap w:val="0"/>
            <w:vAlign w:val="center"/>
          </w:tcPr>
          <w:p>
            <w:pPr>
              <w:pStyle w:val="9"/>
              <w:jc w:val="center"/>
            </w:pPr>
            <w:r>
              <w:rPr>
                <w:rFonts w:hint="eastAsia" w:ascii="宋体" w:hAnsi="宋体" w:eastAsia="宋体" w:cs="宋体"/>
                <w:sz w:val="21"/>
                <w:szCs w:val="21"/>
                <w:lang w:val="en-US" w:eastAsia="zh-CN"/>
              </w:rPr>
              <w:t>厂房外</w:t>
            </w: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18.1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top"/>
          </w:tcPr>
          <w:p>
            <w:pPr>
              <w:pStyle w:val="9"/>
              <w:jc w:val="left"/>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1.5</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17.3</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912" w:type="dxa"/>
            <w:vMerge w:val="continue"/>
            <w:noWrap w:val="0"/>
            <w:vAlign w:val="center"/>
          </w:tcPr>
          <w:p>
            <w:pPr>
              <w:pStyle w:val="9"/>
              <w:jc w:val="center"/>
            </w:pPr>
          </w:p>
        </w:tc>
        <w:tc>
          <w:tcPr>
            <w:tcW w:w="1421" w:type="dxa"/>
            <w:vMerge w:val="continue"/>
            <w:noWrap w:val="0"/>
            <w:vAlign w:val="top"/>
          </w:tcPr>
          <w:p>
            <w:pPr>
              <w:pStyle w:val="9"/>
              <w:jc w:val="left"/>
            </w:pPr>
          </w:p>
        </w:tc>
        <w:tc>
          <w:tcPr>
            <w:tcW w:w="1450"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晴</w:t>
            </w:r>
          </w:p>
        </w:tc>
        <w:tc>
          <w:tcPr>
            <w:tcW w:w="106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东</w:t>
            </w:r>
          </w:p>
        </w:tc>
        <w:tc>
          <w:tcPr>
            <w:tcW w:w="1213"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1.6</w:t>
            </w:r>
          </w:p>
        </w:tc>
        <w:tc>
          <w:tcPr>
            <w:tcW w:w="1125"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17.1</w:t>
            </w:r>
          </w:p>
        </w:tc>
        <w:tc>
          <w:tcPr>
            <w:tcW w:w="1196" w:type="dxa"/>
            <w:noWrap w:val="0"/>
            <w:vAlign w:val="center"/>
          </w:tcPr>
          <w:p>
            <w:pPr>
              <w:pStyle w:val="9"/>
              <w:jc w:val="center"/>
              <w:rPr>
                <w:rFonts w:hint="default" w:ascii="宋体" w:eastAsia="宋体"/>
                <w:b w:val="0"/>
                <w:bCs w:val="0"/>
                <w:sz w:val="21"/>
                <w:szCs w:val="21"/>
                <w:vertAlign w:val="baseline"/>
                <w:lang w:val="en-US" w:eastAsia="zh-CN"/>
              </w:rPr>
            </w:pPr>
            <w:r>
              <w:rPr>
                <w:rFonts w:hint="eastAsia"/>
                <w:b w:val="0"/>
                <w:bCs w:val="0"/>
                <w:sz w:val="21"/>
                <w:szCs w:val="21"/>
                <w:vertAlign w:val="baseline"/>
                <w:lang w:val="en-US" w:eastAsia="zh-CN"/>
              </w:rPr>
              <w:t>101.1</w:t>
            </w:r>
          </w:p>
        </w:tc>
      </w:tr>
    </w:tbl>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ascii="Times New Roman" w:hAnsi="Times New Roman" w:eastAsia="宋体"/>
          <w:color w:val="auto"/>
          <w:sz w:val="24"/>
        </w:rPr>
      </w:pPr>
      <w:r>
        <w:rPr>
          <w:rFonts w:ascii="Times New Roman" w:hAnsi="Times New Roman" w:eastAsia="宋体"/>
          <w:color w:val="auto"/>
          <w:sz w:val="24"/>
        </w:rPr>
        <w:t>无组织废气监测结果见表</w:t>
      </w:r>
      <w:r>
        <w:rPr>
          <w:rFonts w:hint="eastAsia" w:ascii="Times New Roman" w:hAnsi="Times New Roman" w:eastAsia="宋体"/>
          <w:color w:val="auto"/>
          <w:sz w:val="24"/>
          <w:lang w:val="en-US" w:eastAsia="zh-CN"/>
        </w:rPr>
        <w:t>9.3-2</w:t>
      </w:r>
      <w:r>
        <w:rPr>
          <w:rFonts w:ascii="Times New Roman" w:hAnsi="Times New Roman" w:eastAsia="宋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olor w:val="auto"/>
          <w:lang w:val="en-US" w:eastAsia="zh-CN"/>
        </w:rPr>
      </w:pPr>
      <w:r>
        <w:rPr>
          <w:rFonts w:hint="eastAsia" w:ascii="Times New Roman" w:hAnsi="Times New Roman" w:eastAsia="宋体"/>
          <w:color w:val="auto"/>
          <w:sz w:val="24"/>
          <w:lang w:val="en-US" w:eastAsia="zh-CN"/>
        </w:rPr>
        <w:t xml:space="preserve"> </w:t>
      </w:r>
      <w:r>
        <w:rPr>
          <w:rFonts w:hint="eastAsia" w:ascii="Times New Roman" w:hAnsi="Times New Roman" w:eastAsia="宋体"/>
          <w:b/>
          <w:bCs/>
          <w:color w:val="auto"/>
          <w:szCs w:val="21"/>
        </w:rPr>
        <w:t>表</w:t>
      </w:r>
      <w:r>
        <w:rPr>
          <w:rFonts w:hint="eastAsia" w:ascii="Times New Roman" w:hAnsi="Times New Roman" w:eastAsia="宋体"/>
          <w:b/>
          <w:bCs/>
          <w:color w:val="auto"/>
          <w:szCs w:val="21"/>
          <w:lang w:val="en-US" w:eastAsia="zh-CN"/>
        </w:rPr>
        <w:t>9.3-2</w:t>
      </w:r>
      <w:r>
        <w:rPr>
          <w:rFonts w:hint="eastAsia" w:ascii="Times New Roman" w:hAnsi="Times New Roman" w:eastAsia="宋体"/>
          <w:b/>
          <w:bCs/>
          <w:color w:val="auto"/>
          <w:szCs w:val="21"/>
        </w:rPr>
        <w:t xml:space="preserve"> </w:t>
      </w:r>
      <w:r>
        <w:rPr>
          <w:rFonts w:hint="eastAsia" w:ascii="Times New Roman" w:hAnsi="Times New Roman" w:eastAsia="宋体"/>
          <w:b/>
          <w:bCs/>
          <w:color w:val="auto"/>
          <w:szCs w:val="21"/>
          <w:lang w:val="en-US" w:eastAsia="zh-CN"/>
        </w:rPr>
        <w:t xml:space="preserve"> </w:t>
      </w:r>
      <w:r>
        <w:rPr>
          <w:rFonts w:hint="eastAsia" w:ascii="Times New Roman" w:hAnsi="Times New Roman" w:eastAsia="宋体"/>
          <w:b/>
          <w:bCs/>
          <w:color w:val="auto"/>
          <w:szCs w:val="21"/>
        </w:rPr>
        <w:t>无组织废气监测结果表  （单位：m</w:t>
      </w:r>
      <w:r>
        <w:rPr>
          <w:rFonts w:ascii="Times New Roman" w:hAnsi="Times New Roman" w:eastAsia="宋体"/>
          <w:b/>
          <w:bCs/>
          <w:color w:val="auto"/>
          <w:szCs w:val="21"/>
        </w:rPr>
        <w:t>g/m</w:t>
      </w:r>
      <w:r>
        <w:rPr>
          <w:rFonts w:ascii="Times New Roman" w:hAnsi="Times New Roman" w:eastAsia="宋体"/>
          <w:b/>
          <w:bCs/>
          <w:color w:val="auto"/>
          <w:szCs w:val="21"/>
          <w:vertAlign w:val="superscript"/>
        </w:rPr>
        <w:t>3</w:t>
      </w:r>
      <w:r>
        <w:rPr>
          <w:rFonts w:hint="eastAsia" w:ascii="Times New Roman" w:hAnsi="Times New Roman" w:eastAsia="宋体"/>
          <w:b/>
          <w:bCs/>
          <w:color w:val="auto"/>
          <w:szCs w:val="21"/>
        </w:rPr>
        <w:t>）</w:t>
      </w:r>
    </w:p>
    <w:tbl>
      <w:tblPr>
        <w:tblStyle w:val="2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38"/>
        <w:gridCol w:w="3879"/>
        <w:gridCol w:w="38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lang w:val="en-US"/>
              </w:rPr>
            </w:pPr>
            <w:bookmarkStart w:id="138" w:name="_Toc48659653"/>
            <w:bookmarkStart w:id="139" w:name="_Toc53502032"/>
            <w:r>
              <w:rPr>
                <w:rFonts w:hint="eastAsia" w:ascii="Times New Roman" w:hAnsi="Times New Roman" w:eastAsia="宋体"/>
                <w:b/>
                <w:bCs/>
                <w:color w:val="auto"/>
                <w:lang w:val="en-US"/>
              </w:rPr>
              <w:t>检测点位</w:t>
            </w: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hint="eastAsia" w:ascii="Times New Roman" w:hAnsi="Times New Roman" w:eastAsia="宋体"/>
                <w:b/>
                <w:bCs/>
                <w:color w:val="auto"/>
                <w:lang w:val="en-US"/>
              </w:rPr>
              <w:t>检测项目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rPr>
            </w:pP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hint="eastAsia" w:ascii="Times New Roman" w:hAnsi="Times New Roman" w:eastAsia="宋体"/>
                <w:b/>
                <w:bCs/>
                <w:color w:val="auto"/>
                <w:lang w:val="en-US" w:eastAsia="zh-CN"/>
              </w:rPr>
              <w:t>非甲烷总烃</w:t>
            </w:r>
            <w:r>
              <w:rPr>
                <w:rFonts w:hint="eastAsia" w:ascii="Times New Roman" w:hAnsi="Times New Roman" w:eastAsia="宋体"/>
                <w:b/>
                <w:bCs/>
                <w:color w:val="auto"/>
                <w:lang w:val="en-US"/>
              </w:rPr>
              <w:t>（</w:t>
            </w:r>
            <w:r>
              <w:rPr>
                <w:rFonts w:ascii="Times New Roman" w:hAnsi="Times New Roman" w:eastAsia="宋体"/>
                <w:b/>
                <w:bCs/>
                <w:color w:val="auto"/>
              </w:rPr>
              <w:t>mg/m</w:t>
            </w:r>
            <w:r>
              <w:rPr>
                <w:rFonts w:ascii="Times New Roman" w:hAnsi="Times New Roman" w:eastAsia="宋体"/>
                <w:b/>
                <w:bCs/>
                <w:color w:val="auto"/>
                <w:vertAlign w:val="superscript"/>
              </w:rPr>
              <w:t>3</w:t>
            </w:r>
            <w:r>
              <w:rPr>
                <w:rFonts w:hint="eastAsia" w:ascii="Times New Roman" w:hAnsi="Times New Roman" w:eastAsia="宋体"/>
                <w:b/>
                <w:bCs/>
                <w:color w:val="auto"/>
                <w:lang w:val="en-U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b/>
                <w:bCs/>
                <w:color w:val="auto"/>
                <w:lang w:val="en-US"/>
              </w:rPr>
            </w:pPr>
            <w:r>
              <w:rPr>
                <w:rFonts w:hint="eastAsia" w:ascii="Times New Roman" w:hAnsi="Times New Roman" w:eastAsia="宋体"/>
                <w:b/>
                <w:bCs/>
                <w:color w:val="auto"/>
                <w:lang w:val="en-US"/>
              </w:rPr>
              <w:t>监测时间</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rPr>
            </w:pPr>
            <w:r>
              <w:rPr>
                <w:rFonts w:ascii="Times New Roman" w:hAnsi="Times New Roman" w:eastAsia="宋体"/>
                <w:b/>
                <w:bCs/>
                <w:color w:val="auto"/>
                <w:lang w:val="en-US"/>
              </w:rPr>
              <w:t>202</w:t>
            </w:r>
            <w:r>
              <w:rPr>
                <w:rFonts w:hint="eastAsia" w:ascii="Times New Roman" w:hAnsi="Times New Roman" w:eastAsia="宋体"/>
                <w:b/>
                <w:bCs/>
                <w:color w:val="auto"/>
                <w:lang w:val="en-US" w:eastAsia="zh-CN"/>
              </w:rPr>
              <w:t>1</w:t>
            </w:r>
            <w:r>
              <w:rPr>
                <w:rFonts w:hint="eastAsia" w:ascii="Times New Roman" w:hAnsi="Times New Roman" w:eastAsia="宋体"/>
                <w:b/>
                <w:bCs/>
                <w:color w:val="auto"/>
                <w:lang w:val="en-US"/>
              </w:rPr>
              <w:t>年</w:t>
            </w:r>
            <w:r>
              <w:rPr>
                <w:rFonts w:ascii="Times New Roman" w:hAnsi="Times New Roman" w:eastAsia="宋体"/>
                <w:b/>
                <w:bCs/>
                <w:color w:val="auto"/>
                <w:lang w:val="en-US"/>
              </w:rPr>
              <w:t>1</w:t>
            </w:r>
            <w:r>
              <w:rPr>
                <w:rFonts w:hint="eastAsia" w:ascii="Times New Roman" w:hAnsi="Times New Roman" w:eastAsia="宋体"/>
                <w:b/>
                <w:bCs/>
                <w:color w:val="auto"/>
                <w:lang w:val="en-US" w:eastAsia="zh-CN"/>
              </w:rPr>
              <w:t>1</w:t>
            </w:r>
            <w:r>
              <w:rPr>
                <w:rFonts w:hint="eastAsia" w:ascii="Times New Roman" w:hAnsi="Times New Roman" w:eastAsia="宋体"/>
                <w:b/>
                <w:bCs/>
                <w:color w:val="auto"/>
                <w:lang w:val="en-US"/>
              </w:rPr>
              <w:t>月</w:t>
            </w:r>
            <w:r>
              <w:rPr>
                <w:rFonts w:hint="eastAsia" w:ascii="Times New Roman" w:hAnsi="Times New Roman" w:eastAsia="宋体"/>
                <w:b/>
                <w:bCs/>
                <w:color w:val="auto"/>
                <w:lang w:val="en-US" w:eastAsia="zh-CN"/>
              </w:rPr>
              <w:t>10</w:t>
            </w:r>
            <w:r>
              <w:rPr>
                <w:rFonts w:hint="eastAsia" w:ascii="Times New Roman" w:hAnsi="Times New Roman" w:eastAsia="宋体"/>
                <w:b/>
                <w:bCs/>
                <w:color w:val="auto"/>
                <w:lang w:val="en-US"/>
              </w:rPr>
              <w:t>日</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2021年11月10日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lang w:val="en-US"/>
              </w:rPr>
            </w:pPr>
            <w:r>
              <w:rPr>
                <w:rFonts w:hint="eastAsia" w:ascii="Times New Roman" w:hAnsi="Times New Roman" w:eastAsia="宋体"/>
                <w:color w:val="auto"/>
                <w:lang w:val="en-US"/>
              </w:rPr>
              <w:t>上风向参照点</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0.70</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0.59</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0.59</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r>
              <w:rPr>
                <w:rFonts w:hint="eastAsia" w:ascii="Times New Roman" w:hAnsi="Times New Roman" w:eastAsia="宋体" w:cs="宋体"/>
                <w:b w:val="0"/>
                <w:bCs w:val="0"/>
                <w:color w:val="auto"/>
                <w:szCs w:val="21"/>
              </w:rPr>
              <w:t>下风向监控点</w:t>
            </w:r>
            <w:r>
              <w:rPr>
                <w:rFonts w:ascii="Times New Roman" w:hAnsi="Times New Roman" w:eastAsia="宋体" w:cs="宋体"/>
                <w:b w:val="0"/>
                <w:bCs w:val="0"/>
                <w:color w:val="auto"/>
                <w:szCs w:val="21"/>
              </w:rPr>
              <w:t>1#</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1.36</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1.36</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1.39</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r>
              <w:rPr>
                <w:rFonts w:hint="eastAsia" w:ascii="Times New Roman" w:hAnsi="Times New Roman" w:eastAsia="宋体"/>
                <w:color w:val="auto"/>
                <w:lang w:val="en-US"/>
              </w:rPr>
              <w:t>下风向监控点</w:t>
            </w:r>
            <w:r>
              <w:rPr>
                <w:rFonts w:ascii="Times New Roman" w:hAnsi="Times New Roman" w:eastAsia="宋体"/>
                <w:color w:val="auto"/>
                <w:lang w:val="en-US"/>
              </w:rPr>
              <w:t>2#</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1.48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1.36</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b/>
                <w:bCs/>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1.32</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rPr>
            </w:pPr>
            <w:r>
              <w:rPr>
                <w:rFonts w:hint="eastAsia" w:ascii="Times New Roman" w:hAnsi="Times New Roman" w:eastAsia="宋体"/>
                <w:color w:val="auto"/>
                <w:lang w:val="en-US"/>
              </w:rPr>
              <w:t>下风向监控点</w:t>
            </w:r>
            <w:r>
              <w:rPr>
                <w:rFonts w:ascii="Times New Roman" w:hAnsi="Times New Roman" w:eastAsia="宋体"/>
                <w:color w:val="auto"/>
                <w:lang w:val="en-US"/>
              </w:rPr>
              <w:t>3#</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1.38</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1.39</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kern w:val="2"/>
                <w:sz w:val="21"/>
                <w:szCs w:val="21"/>
                <w:vertAlign w:val="baseline"/>
                <w:lang w:val="en-US" w:eastAsia="zh-CN" w:bidi="ar-SA"/>
              </w:rPr>
              <w:t>1.29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宋体"/>
                <w:color w:val="auto"/>
                <w:szCs w:val="21"/>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1.42</w:t>
            </w:r>
          </w:p>
        </w:tc>
        <w:tc>
          <w:tcPr>
            <w:tcW w:w="206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1.23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bCs/>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厂房外窗口监控点</w:t>
            </w: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kern w:val="2"/>
                <w:sz w:val="21"/>
                <w:szCs w:val="21"/>
                <w:vertAlign w:val="baseline"/>
                <w:lang w:val="en-US" w:eastAsia="zh-CN" w:bidi="ar-SA"/>
              </w:rPr>
            </w:pPr>
            <w:r>
              <w:rPr>
                <w:rFonts w:hint="eastAsia" w:ascii="Times New Roman" w:hAnsi="Times New Roman" w:eastAsia="宋体" w:cstheme="minorEastAsia"/>
                <w:b w:val="0"/>
                <w:bCs w:val="0"/>
                <w:sz w:val="21"/>
                <w:szCs w:val="21"/>
                <w:vertAlign w:val="baseline"/>
                <w:lang w:val="en-US" w:eastAsia="zh-CN"/>
              </w:rPr>
              <w:t>2.14</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2.12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2.08</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2.07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heme="minorEastAsia"/>
                <w:b w:val="0"/>
                <w:bCs w:val="0"/>
                <w:sz w:val="21"/>
                <w:szCs w:val="21"/>
                <w:vertAlign w:val="baseline"/>
                <w:lang w:val="en-US" w:eastAsia="zh-CN"/>
              </w:rPr>
            </w:pPr>
          </w:p>
        </w:tc>
        <w:tc>
          <w:tcPr>
            <w:tcW w:w="20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heme="minorEastAsia"/>
                <w:b w:val="0"/>
                <w:bCs w:val="0"/>
                <w:sz w:val="21"/>
                <w:szCs w:val="21"/>
                <w:vertAlign w:val="baseline"/>
                <w:lang w:val="en-US" w:eastAsia="zh-CN"/>
              </w:rPr>
            </w:pPr>
            <w:r>
              <w:rPr>
                <w:rFonts w:hint="eastAsia" w:ascii="Times New Roman" w:hAnsi="Times New Roman" w:eastAsia="宋体" w:cstheme="minorEastAsia"/>
                <w:b w:val="0"/>
                <w:bCs w:val="0"/>
                <w:sz w:val="21"/>
                <w:szCs w:val="21"/>
                <w:vertAlign w:val="baseline"/>
                <w:lang w:val="en-US" w:eastAsia="zh-CN"/>
              </w:rPr>
              <w:t>2.08</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heme="minorBidi"/>
                <w:b w:val="0"/>
                <w:bCs w:val="0"/>
                <w:color w:val="auto"/>
                <w:kern w:val="2"/>
                <w:sz w:val="21"/>
                <w:szCs w:val="22"/>
                <w:lang w:val="en-US" w:eastAsia="zh-CN" w:bidi="ar-SA"/>
              </w:rPr>
            </w:pPr>
            <w:r>
              <w:rPr>
                <w:rFonts w:hint="eastAsia" w:ascii="Times New Roman" w:hAnsi="Times New Roman" w:eastAsia="宋体" w:cstheme="minorBidi"/>
                <w:b w:val="0"/>
                <w:bCs w:val="0"/>
                <w:color w:val="auto"/>
                <w:kern w:val="2"/>
                <w:sz w:val="21"/>
                <w:szCs w:val="22"/>
                <w:lang w:val="en-US" w:eastAsia="zh-CN" w:bidi="ar-SA"/>
              </w:rPr>
              <w:t>2.12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标准限值</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4.0（企业边界）</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4.0（企业边界）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8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b/>
                <w:bCs/>
                <w:color w:val="auto"/>
                <w:lang w:val="en-US" w:eastAsia="zh-CN"/>
              </w:rPr>
            </w:pPr>
            <w:r>
              <w:rPr>
                <w:rFonts w:hint="eastAsia" w:ascii="Times New Roman" w:hAnsi="Times New Roman" w:eastAsia="宋体"/>
                <w:b/>
                <w:bCs/>
                <w:color w:val="auto"/>
                <w:lang w:val="en-US" w:eastAsia="zh-CN"/>
              </w:rPr>
              <w:t>6.0（厂区内）</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6.0（厂区内）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b/>
                <w:bCs/>
                <w:color w:val="auto"/>
                <w:szCs w:val="21"/>
                <w:lang w:eastAsia="zh-CN"/>
              </w:rPr>
            </w:pPr>
            <w:r>
              <w:rPr>
                <w:rFonts w:hint="eastAsia" w:ascii="Times New Roman" w:hAnsi="Times New Roman" w:eastAsia="宋体" w:cs="宋体"/>
                <w:b/>
                <w:bCs/>
                <w:color w:val="auto"/>
                <w:szCs w:val="21"/>
                <w:lang w:eastAsia="zh-CN"/>
              </w:rPr>
              <w:t>达标情况</w:t>
            </w:r>
          </w:p>
        </w:tc>
        <w:tc>
          <w:tcPr>
            <w:tcW w:w="2065"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达标</w:t>
            </w:r>
          </w:p>
        </w:tc>
        <w:tc>
          <w:tcPr>
            <w:tcW w:w="206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bCs/>
                <w:color w:val="auto"/>
                <w:lang w:val="en-US" w:eastAsia="zh-CN"/>
              </w:rPr>
            </w:pPr>
            <w:r>
              <w:rPr>
                <w:rFonts w:hint="eastAsia" w:ascii="Times New Roman" w:hAnsi="Times New Roman" w:eastAsia="宋体"/>
                <w:b/>
                <w:bCs/>
                <w:color w:val="auto"/>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2" w:type="pct"/>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ascii="Times New Roman" w:hAnsi="Times New Roman" w:eastAsia="宋体"/>
                <w:color w:val="auto"/>
                <w:sz w:val="24"/>
                <w:szCs w:val="24"/>
                <w:lang w:val="en-US"/>
              </w:rPr>
            </w:pPr>
            <w:r>
              <w:rPr>
                <w:rFonts w:hint="eastAsia" w:ascii="Times New Roman" w:hAnsi="Times New Roman" w:eastAsia="宋体"/>
                <w:color w:val="auto"/>
                <w:sz w:val="24"/>
                <w:szCs w:val="24"/>
                <w:lang w:val="en-US"/>
              </w:rPr>
              <w:t>备注</w:t>
            </w:r>
          </w:p>
        </w:tc>
        <w:tc>
          <w:tcPr>
            <w:tcW w:w="4127" w:type="pct"/>
            <w:gridSpan w:val="2"/>
            <w:tcBorders>
              <w:tl2br w:val="nil"/>
              <w:tr2bl w:val="nil"/>
            </w:tcBorders>
            <w:vAlign w:val="center"/>
          </w:tcPr>
          <w:p>
            <w:pPr>
              <w:pStyle w:val="9"/>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ascii="Times New Roman" w:hAnsi="Times New Roman" w:eastAsia="宋体"/>
                <w:b w:val="0"/>
                <w:bCs w:val="0"/>
                <w:color w:val="auto"/>
                <w:lang w:val="en-US"/>
              </w:rPr>
            </w:pPr>
            <w:r>
              <w:rPr>
                <w:rFonts w:hint="eastAsia" w:ascii="Times New Roman" w:hAnsi="Times New Roman" w:eastAsia="宋体"/>
                <w:b w:val="0"/>
                <w:bCs w:val="0"/>
                <w:color w:val="auto"/>
                <w:lang w:val="en-US"/>
              </w:rPr>
              <w:t>“</w:t>
            </w:r>
            <w:r>
              <w:rPr>
                <w:rFonts w:ascii="Times New Roman" w:hAnsi="Times New Roman" w:eastAsia="宋体"/>
                <w:b w:val="0"/>
                <w:bCs w:val="0"/>
                <w:color w:val="auto"/>
                <w:lang w:val="en-US"/>
              </w:rPr>
              <w:t>L</w:t>
            </w:r>
            <w:r>
              <w:rPr>
                <w:rFonts w:hint="eastAsia" w:ascii="Times New Roman" w:hAnsi="Times New Roman" w:eastAsia="宋体"/>
                <w:b w:val="0"/>
                <w:bCs w:val="0"/>
                <w:color w:val="auto"/>
                <w:lang w:val="en-US"/>
              </w:rPr>
              <w:t>”表示未检出，检测结果低于方法检出限以</w:t>
            </w:r>
            <w:r>
              <w:rPr>
                <w:rFonts w:ascii="Times New Roman" w:hAnsi="Times New Roman" w:eastAsia="宋体"/>
                <w:b w:val="0"/>
                <w:bCs w:val="0"/>
                <w:color w:val="auto"/>
                <w:lang w:val="en-US"/>
              </w:rPr>
              <w:t>L</w:t>
            </w:r>
            <w:r>
              <w:rPr>
                <w:rFonts w:hint="eastAsia" w:ascii="Times New Roman" w:hAnsi="Times New Roman" w:eastAsia="宋体"/>
                <w:b w:val="0"/>
                <w:bCs w:val="0"/>
                <w:color w:val="auto"/>
                <w:lang w:val="en-US"/>
              </w:rPr>
              <w:t>或未检出表示</w:t>
            </w:r>
          </w:p>
        </w:tc>
      </w:tr>
      <w:bookmarkEnd w:id="138"/>
      <w:bookmarkEnd w:id="139"/>
    </w:tbl>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kern w:val="0"/>
          <w:sz w:val="24"/>
          <w:lang w:eastAsia="zh-CN"/>
        </w:rPr>
      </w:pPr>
      <w:r>
        <w:rPr>
          <w:rFonts w:hint="eastAsia" w:ascii="Times New Roman" w:hAnsi="Times New Roman" w:eastAsia="宋体"/>
          <w:color w:val="auto"/>
          <w:szCs w:val="20"/>
          <w:highlight w:val="none"/>
        </w:rPr>
        <w:t>表9.</w:t>
      </w:r>
      <w:r>
        <w:rPr>
          <w:rFonts w:hint="eastAsia" w:ascii="Times New Roman" w:hAnsi="Times New Roman" w:eastAsia="宋体"/>
          <w:color w:val="auto"/>
          <w:szCs w:val="20"/>
          <w:highlight w:val="none"/>
          <w:lang w:val="en-US" w:eastAsia="zh-CN"/>
        </w:rPr>
        <w:t>3</w:t>
      </w:r>
      <w:r>
        <w:rPr>
          <w:rFonts w:hint="eastAsia" w:ascii="Times New Roman" w:hAnsi="Times New Roman" w:eastAsia="宋体"/>
          <w:color w:val="auto"/>
          <w:szCs w:val="20"/>
          <w:highlight w:val="none"/>
        </w:rPr>
        <w:t>-</w:t>
      </w:r>
      <w:r>
        <w:rPr>
          <w:rFonts w:hint="eastAsia" w:ascii="Times New Roman" w:hAnsi="Times New Roman" w:eastAsia="宋体"/>
          <w:color w:val="auto"/>
          <w:szCs w:val="20"/>
          <w:highlight w:val="none"/>
          <w:lang w:val="en-US" w:eastAsia="zh-CN"/>
        </w:rPr>
        <w:t>2</w:t>
      </w:r>
      <w:r>
        <w:rPr>
          <w:rFonts w:hint="eastAsia" w:ascii="Times New Roman" w:hAnsi="Times New Roman" w:eastAsia="宋体"/>
          <w:color w:val="auto"/>
          <w:szCs w:val="20"/>
          <w:highlight w:val="none"/>
        </w:rPr>
        <w:t>监测结果表明：</w:t>
      </w:r>
      <w:r>
        <w:rPr>
          <w:rFonts w:hint="eastAsia" w:ascii="Times New Roman" w:hAnsi="Times New Roman" w:eastAsia="宋体"/>
          <w:color w:val="auto"/>
          <w:szCs w:val="24"/>
          <w:highlight w:val="none"/>
        </w:rPr>
        <w:t>验收监测期间，厂界</w:t>
      </w:r>
      <w:r>
        <w:rPr>
          <w:rFonts w:hint="eastAsia" w:ascii="Times New Roman" w:hAnsi="Times New Roman" w:eastAsia="宋体"/>
          <w:color w:val="auto"/>
          <w:szCs w:val="24"/>
          <w:highlight w:val="none"/>
          <w:lang w:eastAsia="zh-CN"/>
        </w:rPr>
        <w:t>非甲烷总烃</w:t>
      </w:r>
      <w:r>
        <w:rPr>
          <w:rFonts w:hint="eastAsia" w:ascii="Times New Roman" w:hAnsi="Times New Roman" w:eastAsia="宋体"/>
          <w:color w:val="auto"/>
          <w:szCs w:val="24"/>
          <w:highlight w:val="none"/>
        </w:rPr>
        <w:t>无组织排放浓度最大值为</w:t>
      </w:r>
      <w:r>
        <w:rPr>
          <w:rFonts w:hint="eastAsia"/>
          <w:color w:val="auto"/>
          <w:szCs w:val="24"/>
          <w:highlight w:val="none"/>
          <w:lang w:val="en-US" w:eastAsia="zh-CN"/>
        </w:rPr>
        <w:t>2.14</w:t>
      </w:r>
      <w:r>
        <w:rPr>
          <w:rFonts w:ascii="Times New Roman" w:hAnsi="Times New Roman" w:eastAsia="宋体"/>
          <w:color w:val="auto"/>
          <w:szCs w:val="24"/>
          <w:highlight w:val="none"/>
        </w:rPr>
        <w:t>mg/m</w:t>
      </w:r>
      <w:r>
        <w:rPr>
          <w:rFonts w:ascii="Times New Roman" w:hAnsi="Times New Roman" w:eastAsia="宋体"/>
          <w:color w:val="auto"/>
          <w:szCs w:val="24"/>
          <w:highlight w:val="none"/>
          <w:vertAlign w:val="superscript"/>
        </w:rPr>
        <w:t>3</w:t>
      </w:r>
      <w:r>
        <w:rPr>
          <w:rFonts w:hint="eastAsia" w:ascii="Times New Roman" w:hAnsi="Times New Roman" w:eastAsia="宋体"/>
          <w:color w:val="auto"/>
          <w:szCs w:val="24"/>
          <w:highlight w:val="none"/>
        </w:rPr>
        <w:t>，</w:t>
      </w:r>
      <w:r>
        <w:rPr>
          <w:rFonts w:hint="eastAsia" w:ascii="Times New Roman" w:hAnsi="Times New Roman" w:eastAsia="宋体"/>
          <w:color w:val="auto"/>
          <w:highlight w:val="none"/>
        </w:rPr>
        <w:t>监测结果符合</w:t>
      </w:r>
      <w:r>
        <w:rPr>
          <w:rFonts w:hint="default" w:ascii="Times New Roman" w:hAnsi="Times New Roman" w:eastAsia="宋体" w:cs="Times New Roman"/>
          <w:color w:val="auto"/>
          <w:kern w:val="0"/>
          <w:sz w:val="24"/>
          <w:highlight w:val="none"/>
        </w:rPr>
        <w:t>《合成树脂工业污染物排放标准》（GB31572-2015）</w:t>
      </w:r>
      <w:r>
        <w:rPr>
          <w:rFonts w:hint="eastAsia" w:ascii="Times New Roman" w:hAnsi="Times New Roman" w:eastAsia="宋体" w:cs="Times New Roman"/>
          <w:color w:val="auto"/>
          <w:kern w:val="0"/>
          <w:sz w:val="24"/>
          <w:highlight w:val="none"/>
          <w:lang w:eastAsia="zh-CN"/>
        </w:rPr>
        <w:t>中</w:t>
      </w:r>
      <w:r>
        <w:rPr>
          <w:rFonts w:hint="default" w:ascii="Times New Roman" w:hAnsi="Times New Roman" w:eastAsia="宋体" w:cs="Times New Roman"/>
          <w:color w:val="auto"/>
          <w:kern w:val="0"/>
          <w:sz w:val="24"/>
          <w:highlight w:val="none"/>
        </w:rPr>
        <w:t>表9企</w:t>
      </w:r>
      <w:r>
        <w:rPr>
          <w:rFonts w:hint="default" w:ascii="Times New Roman" w:hAnsi="Times New Roman" w:eastAsia="宋体" w:cs="Times New Roman"/>
          <w:kern w:val="0"/>
          <w:sz w:val="24"/>
        </w:rPr>
        <w:t>业边界大气污染物浓度限值</w:t>
      </w:r>
      <w:r>
        <w:rPr>
          <w:rFonts w:hint="eastAsia" w:ascii="Times New Roman" w:hAnsi="Times New Roman" w:eastAsia="宋体" w:cs="Times New Roman"/>
          <w:kern w:val="0"/>
          <w:sz w:val="24"/>
          <w:lang w:eastAsia="zh-CN"/>
        </w:rPr>
        <w:t>；</w:t>
      </w:r>
      <w:r>
        <w:rPr>
          <w:rFonts w:hint="eastAsia" w:ascii="Times New Roman" w:hAnsi="Times New Roman" w:eastAsia="宋体"/>
          <w:color w:val="auto"/>
          <w:szCs w:val="24"/>
        </w:rPr>
        <w:t>厂</w:t>
      </w:r>
      <w:r>
        <w:rPr>
          <w:rFonts w:hint="eastAsia" w:ascii="Times New Roman" w:hAnsi="Times New Roman" w:eastAsia="宋体"/>
          <w:color w:val="auto"/>
          <w:szCs w:val="24"/>
          <w:lang w:eastAsia="zh-CN"/>
        </w:rPr>
        <w:t>区内非甲烷总烃任意一次最大浓度值为</w:t>
      </w:r>
      <w:r>
        <w:rPr>
          <w:rFonts w:hint="eastAsia" w:ascii="Times New Roman" w:hAnsi="Times New Roman" w:eastAsia="宋体"/>
          <w:color w:val="auto"/>
          <w:szCs w:val="24"/>
          <w:lang w:val="en-US" w:eastAsia="zh-CN"/>
        </w:rPr>
        <w:t>2.</w:t>
      </w:r>
      <w:r>
        <w:rPr>
          <w:rFonts w:hint="eastAsia"/>
          <w:color w:val="auto"/>
          <w:szCs w:val="24"/>
          <w:lang w:val="en-US" w:eastAsia="zh-CN"/>
        </w:rPr>
        <w:t>14</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s="宋体"/>
          <w:color w:val="auto"/>
          <w:sz w:val="24"/>
          <w:szCs w:val="24"/>
          <w:lang w:eastAsia="zh-CN"/>
        </w:rPr>
        <w:t>，监测结果符合</w:t>
      </w:r>
      <w:r>
        <w:rPr>
          <w:rFonts w:hint="eastAsia" w:ascii="Times New Roman" w:hAnsi="Times New Roman" w:eastAsia="宋体" w:cs="Times New Roman"/>
          <w:kern w:val="0"/>
          <w:sz w:val="24"/>
          <w:lang w:eastAsia="zh-CN"/>
        </w:rPr>
        <w:t>《挥发性有机物无组织排放控制标准》（GB37822-2019）中表A.1规定的限值要求。</w:t>
      </w:r>
      <w:bookmarkStart w:id="140" w:name="_Toc31475"/>
    </w:p>
    <w:p>
      <w:pPr>
        <w:pStyle w:val="104"/>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b/>
          <w:bCs/>
          <w:color w:val="auto"/>
          <w:sz w:val="30"/>
          <w:szCs w:val="30"/>
          <w:lang w:eastAsia="zh-CN"/>
        </w:rPr>
      </w:pPr>
      <w:r>
        <w:rPr>
          <w:rFonts w:hint="eastAsia" w:ascii="Times New Roman" w:hAnsi="Times New Roman" w:eastAsia="宋体"/>
          <w:b/>
          <w:bCs/>
          <w:color w:val="auto"/>
          <w:sz w:val="30"/>
          <w:szCs w:val="30"/>
          <w:lang w:val="en-US" w:eastAsia="zh-CN"/>
        </w:rPr>
        <w:t>9.4</w:t>
      </w:r>
      <w:r>
        <w:rPr>
          <w:rFonts w:hint="eastAsia" w:ascii="Times New Roman" w:hAnsi="Times New Roman" w:eastAsia="宋体"/>
          <w:b/>
          <w:bCs/>
          <w:color w:val="auto"/>
          <w:sz w:val="30"/>
          <w:szCs w:val="30"/>
          <w:lang w:eastAsia="zh-CN"/>
        </w:rPr>
        <w:t>厂界噪声监测结果</w:t>
      </w:r>
      <w:bookmarkEnd w:id="140"/>
    </w:p>
    <w:p>
      <w:pPr>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b/>
          <w:color w:val="auto"/>
          <w:szCs w:val="21"/>
        </w:rPr>
      </w:pPr>
      <w:r>
        <w:rPr>
          <w:rFonts w:hint="eastAsia" w:ascii="Times New Roman" w:hAnsi="Times New Roman" w:eastAsia="宋体" w:cs="Times New Roman"/>
          <w:color w:val="auto"/>
          <w:sz w:val="24"/>
          <w:szCs w:val="24"/>
        </w:rPr>
        <w:t>厂界噪声监测结果详见表9.</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w:t>
      </w:r>
    </w:p>
    <w:p>
      <w:pPr>
        <w:pageBreakBefore w:val="0"/>
        <w:widowControl w:val="0"/>
        <w:kinsoku/>
        <w:wordWrap/>
        <w:overflowPunct/>
        <w:topLinePunct w:val="0"/>
        <w:autoSpaceDE/>
        <w:autoSpaceDN/>
        <w:bidi w:val="0"/>
        <w:adjustRightInd/>
        <w:snapToGrid/>
        <w:spacing w:line="360" w:lineRule="auto"/>
        <w:jc w:val="right"/>
        <w:textAlignment w:val="auto"/>
        <w:rPr>
          <w:rFonts w:ascii="Times New Roman" w:hAnsi="Times New Roman" w:eastAsia="宋体" w:cs="宋体"/>
          <w:color w:val="auto"/>
          <w:kern w:val="0"/>
          <w:szCs w:val="21"/>
        </w:rPr>
      </w:pPr>
      <w:r>
        <w:rPr>
          <w:rFonts w:hint="eastAsia" w:ascii="Times New Roman" w:hAnsi="Times New Roman" w:eastAsia="宋体" w:cs="Times New Roman"/>
          <w:b/>
          <w:color w:val="auto"/>
          <w:szCs w:val="21"/>
        </w:rPr>
        <w:t>表9.</w:t>
      </w:r>
      <w:r>
        <w:rPr>
          <w:rFonts w:hint="eastAsia" w:ascii="Times New Roman" w:hAnsi="Times New Roman" w:eastAsia="宋体" w:cs="Times New Roman"/>
          <w:b/>
          <w:color w:val="auto"/>
          <w:szCs w:val="21"/>
          <w:lang w:val="en-US" w:eastAsia="zh-CN"/>
        </w:rPr>
        <w:t>4</w:t>
      </w:r>
      <w:r>
        <w:rPr>
          <w:rFonts w:hint="eastAsia" w:ascii="Times New Roman" w:hAnsi="Times New Roman" w:eastAsia="宋体" w:cs="Times New Roman"/>
          <w:b/>
          <w:color w:val="auto"/>
          <w:szCs w:val="21"/>
        </w:rPr>
        <w:t>-</w:t>
      </w:r>
      <w:r>
        <w:rPr>
          <w:rFonts w:hint="eastAsia" w:ascii="Times New Roman" w:hAnsi="Times New Roman" w:eastAsia="宋体" w:cs="Times New Roman"/>
          <w:b/>
          <w:color w:val="auto"/>
          <w:szCs w:val="21"/>
          <w:lang w:val="en-US" w:eastAsia="zh-CN"/>
        </w:rPr>
        <w:t>1</w:t>
      </w:r>
      <w:r>
        <w:rPr>
          <w:rFonts w:hint="eastAsia"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 xml:space="preserve">噪声监测结果表           </w:t>
      </w:r>
      <w:r>
        <w:rPr>
          <w:rFonts w:ascii="Times New Roman" w:hAnsi="Times New Roman" w:eastAsia="宋体" w:cs="Times New Roman"/>
          <w:b/>
          <w:color w:val="auto"/>
          <w:szCs w:val="21"/>
        </w:rPr>
        <w:t>（单位：</w:t>
      </w:r>
      <w:r>
        <w:rPr>
          <w:rFonts w:hint="eastAsia" w:ascii="Times New Roman" w:hAnsi="Times New Roman" w:eastAsia="宋体" w:cs="Times New Roman"/>
          <w:b/>
          <w:color w:val="auto"/>
          <w:szCs w:val="21"/>
        </w:rPr>
        <w:t>dB(A)）</w:t>
      </w:r>
      <w:bookmarkStart w:id="141" w:name="_Toc507454895"/>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82"/>
        <w:gridCol w:w="2366"/>
        <w:gridCol w:w="1465"/>
        <w:gridCol w:w="1465"/>
        <w:gridCol w:w="1461"/>
        <w:gridCol w:w="146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vMerge w:val="restar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点位</w:t>
            </w:r>
          </w:p>
          <w:p>
            <w:pPr>
              <w:jc w:val="center"/>
              <w:rPr>
                <w:rFonts w:ascii="Times New Roman" w:hAnsi="Times New Roman" w:eastAsia="宋体"/>
                <w:b/>
                <w:color w:val="auto"/>
                <w:szCs w:val="21"/>
              </w:rPr>
            </w:pPr>
            <w:r>
              <w:rPr>
                <w:rFonts w:ascii="Times New Roman" w:hAnsi="Times New Roman" w:eastAsia="宋体"/>
                <w:b/>
                <w:color w:val="auto"/>
                <w:szCs w:val="21"/>
              </w:rPr>
              <w:t>编号</w:t>
            </w:r>
          </w:p>
        </w:tc>
        <w:tc>
          <w:tcPr>
            <w:tcW w:w="1257" w:type="pct"/>
            <w:vMerge w:val="restar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检测点位</w:t>
            </w:r>
          </w:p>
        </w:tc>
        <w:tc>
          <w:tcPr>
            <w:tcW w:w="1558" w:type="pct"/>
            <w:gridSpan w:val="2"/>
            <w:vAlign w:val="center"/>
          </w:tcPr>
          <w:p>
            <w:pPr>
              <w:jc w:val="center"/>
              <w:rPr>
                <w:rFonts w:hint="default" w:ascii="Times New Roman" w:hAnsi="Times New Roman" w:eastAsia="宋体"/>
                <w:b/>
                <w:color w:val="auto"/>
                <w:szCs w:val="21"/>
                <w:lang w:val="en-US" w:eastAsia="zh-CN"/>
              </w:rPr>
            </w:pPr>
            <w:r>
              <w:rPr>
                <w:rFonts w:hint="eastAsia" w:ascii="Times New Roman" w:hAnsi="Times New Roman" w:eastAsia="宋体"/>
                <w:b/>
                <w:color w:val="auto"/>
                <w:szCs w:val="21"/>
              </w:rPr>
              <w:t>2020.</w:t>
            </w:r>
            <w:r>
              <w:rPr>
                <w:rFonts w:hint="eastAsia" w:ascii="Times New Roman" w:hAnsi="Times New Roman" w:eastAsia="宋体"/>
                <w:b/>
                <w:color w:val="auto"/>
                <w:szCs w:val="21"/>
                <w:lang w:val="en-US" w:eastAsia="zh-CN"/>
              </w:rPr>
              <w:t>11</w:t>
            </w:r>
            <w:r>
              <w:rPr>
                <w:rFonts w:hint="eastAsia" w:ascii="Times New Roman" w:hAnsi="Times New Roman" w:eastAsia="宋体"/>
                <w:b/>
                <w:color w:val="auto"/>
                <w:szCs w:val="21"/>
              </w:rPr>
              <w:t>.</w:t>
            </w:r>
            <w:r>
              <w:rPr>
                <w:rFonts w:hint="eastAsia" w:ascii="Times New Roman" w:hAnsi="Times New Roman" w:eastAsia="宋体"/>
                <w:b/>
                <w:color w:val="auto"/>
                <w:szCs w:val="21"/>
                <w:lang w:val="en-US" w:eastAsia="zh-CN"/>
              </w:rPr>
              <w:t>3</w:t>
            </w:r>
          </w:p>
        </w:tc>
        <w:tc>
          <w:tcPr>
            <w:tcW w:w="1554" w:type="pct"/>
            <w:gridSpan w:val="2"/>
            <w:vAlign w:val="center"/>
          </w:tcPr>
          <w:p>
            <w:pPr>
              <w:jc w:val="center"/>
              <w:rPr>
                <w:rFonts w:hint="default" w:ascii="Times New Roman" w:hAnsi="Times New Roman" w:eastAsia="宋体"/>
                <w:b/>
                <w:color w:val="auto"/>
                <w:szCs w:val="21"/>
                <w:lang w:val="en-US" w:eastAsia="zh-CN"/>
              </w:rPr>
            </w:pPr>
            <w:r>
              <w:rPr>
                <w:rFonts w:hint="eastAsia" w:ascii="Times New Roman" w:hAnsi="Times New Roman" w:eastAsia="宋体"/>
                <w:b/>
                <w:color w:val="auto"/>
                <w:szCs w:val="21"/>
              </w:rPr>
              <w:t>2020.</w:t>
            </w:r>
            <w:r>
              <w:rPr>
                <w:rFonts w:hint="eastAsia" w:ascii="Times New Roman" w:hAnsi="Times New Roman" w:eastAsia="宋体"/>
                <w:b/>
                <w:color w:val="auto"/>
                <w:szCs w:val="21"/>
                <w:lang w:val="en-US" w:eastAsia="zh-CN"/>
              </w:rPr>
              <w:t>11</w:t>
            </w:r>
            <w:r>
              <w:rPr>
                <w:rFonts w:hint="eastAsia" w:ascii="Times New Roman" w:hAnsi="Times New Roman" w:eastAsia="宋体"/>
                <w:b/>
                <w:color w:val="auto"/>
                <w:szCs w:val="21"/>
              </w:rPr>
              <w:t>.</w:t>
            </w:r>
            <w:r>
              <w:rPr>
                <w:rFonts w:hint="eastAsia" w:ascii="Times New Roman" w:hAnsi="Times New Roman" w:eastAsia="宋体"/>
                <w:b/>
                <w:color w:val="auto"/>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vMerge w:val="continue"/>
            <w:vAlign w:val="center"/>
          </w:tcPr>
          <w:p>
            <w:pPr>
              <w:jc w:val="center"/>
              <w:rPr>
                <w:rFonts w:ascii="Times New Roman" w:hAnsi="Times New Roman" w:eastAsia="宋体"/>
                <w:b/>
                <w:color w:val="auto"/>
                <w:szCs w:val="21"/>
              </w:rPr>
            </w:pPr>
          </w:p>
        </w:tc>
        <w:tc>
          <w:tcPr>
            <w:tcW w:w="1257" w:type="pct"/>
            <w:vMerge w:val="continue"/>
            <w:vAlign w:val="center"/>
          </w:tcPr>
          <w:p>
            <w:pPr>
              <w:jc w:val="center"/>
              <w:rPr>
                <w:rFonts w:ascii="Times New Roman" w:hAnsi="Times New Roman" w:eastAsia="宋体"/>
                <w:b/>
                <w:color w:val="auto"/>
                <w:szCs w:val="21"/>
              </w:rPr>
            </w:pPr>
          </w:p>
        </w:tc>
        <w:tc>
          <w:tcPr>
            <w:tcW w:w="779" w:type="pc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昼间Leq</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夜</w:t>
            </w:r>
            <w:r>
              <w:rPr>
                <w:rFonts w:ascii="Times New Roman" w:hAnsi="Times New Roman" w:eastAsia="宋体"/>
                <w:b/>
                <w:color w:val="auto"/>
                <w:szCs w:val="21"/>
              </w:rPr>
              <w:t>间Leq</w:t>
            </w:r>
          </w:p>
        </w:tc>
        <w:tc>
          <w:tcPr>
            <w:tcW w:w="777" w:type="pct"/>
            <w:vAlign w:val="center"/>
          </w:tcPr>
          <w:p>
            <w:pPr>
              <w:jc w:val="center"/>
              <w:rPr>
                <w:rFonts w:ascii="Times New Roman" w:hAnsi="Times New Roman" w:eastAsia="宋体"/>
                <w:b/>
                <w:color w:val="auto"/>
                <w:szCs w:val="21"/>
              </w:rPr>
            </w:pPr>
            <w:r>
              <w:rPr>
                <w:rFonts w:ascii="Times New Roman" w:hAnsi="Times New Roman" w:eastAsia="宋体"/>
                <w:b/>
                <w:color w:val="auto"/>
                <w:szCs w:val="21"/>
              </w:rPr>
              <w:t>昼间Leq</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夜</w:t>
            </w:r>
            <w:r>
              <w:rPr>
                <w:rFonts w:ascii="Times New Roman" w:hAnsi="Times New Roman" w:eastAsia="宋体"/>
                <w:b/>
                <w:color w:val="auto"/>
                <w:szCs w:val="21"/>
              </w:rPr>
              <w:t>间Leq</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N1</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项目区东厂界</w:t>
            </w:r>
          </w:p>
        </w:tc>
        <w:tc>
          <w:tcPr>
            <w:tcW w:w="779"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lang w:val="en-US" w:eastAsia="zh-CN"/>
              </w:rPr>
              <w:t>55</w:t>
            </w:r>
          </w:p>
        </w:tc>
        <w:tc>
          <w:tcPr>
            <w:tcW w:w="779"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kern w:val="2"/>
                <w:sz w:val="21"/>
                <w:szCs w:val="21"/>
                <w:lang w:val="en-US" w:eastAsia="zh-CN" w:bidi="ar-SA"/>
              </w:rPr>
              <w:t>48</w:t>
            </w:r>
          </w:p>
        </w:tc>
        <w:tc>
          <w:tcPr>
            <w:tcW w:w="777"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sz w:val="21"/>
                <w:szCs w:val="21"/>
                <w:lang w:val="en-US" w:eastAsia="zh-CN"/>
              </w:rPr>
              <w:t>57</w:t>
            </w:r>
          </w:p>
        </w:tc>
        <w:tc>
          <w:tcPr>
            <w:tcW w:w="777" w:type="pct"/>
            <w:vAlign w:val="center"/>
          </w:tcPr>
          <w:p>
            <w:pPr>
              <w:jc w:val="center"/>
              <w:rPr>
                <w:rFonts w:hint="default" w:ascii="Times New Roman" w:hAnsi="Times New Roman" w:eastAsia="宋体" w:cs="宋体"/>
                <w:color w:val="000000"/>
                <w:kern w:val="2"/>
                <w:sz w:val="21"/>
                <w:szCs w:val="21"/>
                <w:lang w:val="en-US" w:eastAsia="zh-CN" w:bidi="ar-SA"/>
              </w:rPr>
            </w:pPr>
            <w:r>
              <w:rPr>
                <w:rFonts w:hint="eastAsia" w:ascii="Times New Roman" w:hAnsi="Times New Roman" w:eastAsia="宋体" w:cs="宋体"/>
                <w:color w:val="000000"/>
                <w:kern w:val="2"/>
                <w:sz w:val="21"/>
                <w:szCs w:val="21"/>
                <w:lang w:val="en-US" w:eastAsia="zh-CN" w:bidi="ar-SA"/>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N2</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项目区南厂界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57</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56</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N3</w:t>
            </w:r>
          </w:p>
        </w:tc>
        <w:tc>
          <w:tcPr>
            <w:tcW w:w="1257" w:type="pct"/>
            <w:shd w:val="clear" w:color="auto" w:fill="auto"/>
            <w:vAlign w:val="center"/>
          </w:tcPr>
          <w:p>
            <w:pPr>
              <w:jc w:val="center"/>
              <w:rPr>
                <w:rFonts w:ascii="Times New Roman" w:hAnsi="Times New Roman" w:eastAsia="宋体"/>
                <w:color w:val="auto"/>
                <w:szCs w:val="21"/>
              </w:rPr>
            </w:pPr>
            <w:r>
              <w:rPr>
                <w:rFonts w:hint="eastAsia" w:ascii="Times New Roman" w:hAnsi="Times New Roman" w:eastAsia="宋体"/>
                <w:color w:val="auto"/>
                <w:szCs w:val="21"/>
              </w:rPr>
              <w:t>项目区西厂界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54</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46</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54</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29" w:type="pct"/>
            <w:shd w:val="clear" w:color="auto" w:fill="auto"/>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w:t>
            </w:r>
            <w:r>
              <w:rPr>
                <w:rFonts w:hint="eastAsia" w:ascii="Times New Roman" w:hAnsi="Times New Roman" w:eastAsia="宋体"/>
                <w:color w:val="auto"/>
                <w:szCs w:val="21"/>
              </w:rPr>
              <w:t>4</w:t>
            </w:r>
          </w:p>
        </w:tc>
        <w:tc>
          <w:tcPr>
            <w:tcW w:w="1257" w:type="pct"/>
            <w:shd w:val="clear" w:color="auto" w:fill="auto"/>
            <w:vAlign w:val="center"/>
          </w:tcPr>
          <w:p>
            <w:pPr>
              <w:jc w:val="center"/>
              <w:rPr>
                <w:rFonts w:ascii="Times New Roman" w:hAnsi="Times New Roman" w:eastAsia="宋体"/>
                <w:b/>
                <w:bCs/>
                <w:color w:val="auto"/>
                <w:szCs w:val="21"/>
              </w:rPr>
            </w:pPr>
            <w:r>
              <w:rPr>
                <w:rFonts w:hint="eastAsia" w:ascii="Times New Roman" w:hAnsi="Times New Roman" w:eastAsia="宋体"/>
                <w:color w:val="auto"/>
                <w:szCs w:val="21"/>
              </w:rPr>
              <w:t>项目区北厂界</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57</w:t>
            </w:r>
          </w:p>
        </w:tc>
        <w:tc>
          <w:tcPr>
            <w:tcW w:w="779"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44</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sz w:val="21"/>
                <w:szCs w:val="21"/>
                <w:lang w:val="en-US" w:eastAsia="zh-CN"/>
              </w:rPr>
              <w:t>56</w:t>
            </w:r>
          </w:p>
        </w:tc>
        <w:tc>
          <w:tcPr>
            <w:tcW w:w="777" w:type="pct"/>
            <w:vAlign w:val="center"/>
          </w:tcPr>
          <w:p>
            <w:pPr>
              <w:jc w:val="center"/>
              <w:rPr>
                <w:rFonts w:hint="default" w:ascii="Times New Roman" w:hAnsi="Times New Roman" w:eastAsia="宋体" w:cs="宋体"/>
                <w:kern w:val="2"/>
                <w:sz w:val="21"/>
                <w:szCs w:val="21"/>
                <w:lang w:val="en-US" w:eastAsia="zh-CN" w:bidi="ar-SA"/>
              </w:rPr>
            </w:pPr>
            <w:r>
              <w:rPr>
                <w:rFonts w:hint="eastAsia" w:ascii="Times New Roman" w:hAnsi="Times New Roman" w:eastAsia="宋体" w:cs="宋体"/>
                <w:kern w:val="2"/>
                <w:sz w:val="21"/>
                <w:szCs w:val="21"/>
                <w:lang w:val="en-US" w:eastAsia="zh-CN" w:bidi="ar-SA"/>
              </w:rPr>
              <w:t>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eastAsia="宋体"/>
                <w:b/>
                <w:color w:val="auto"/>
                <w:kern w:val="1"/>
                <w:szCs w:val="21"/>
              </w:rPr>
            </w:pPr>
            <w:r>
              <w:rPr>
                <w:rFonts w:hint="eastAsia" w:ascii="Times New Roman" w:hAnsi="Times New Roman" w:eastAsia="宋体"/>
                <w:b/>
                <w:color w:val="auto"/>
                <w:szCs w:val="21"/>
              </w:rPr>
              <w:t>标准限值</w:t>
            </w:r>
          </w:p>
        </w:tc>
        <w:tc>
          <w:tcPr>
            <w:tcW w:w="779"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6</w:t>
            </w:r>
            <w:r>
              <w:rPr>
                <w:rFonts w:hint="eastAsia" w:ascii="Times New Roman" w:hAnsi="Times New Roman" w:eastAsia="宋体" w:cs="Times New Roman"/>
                <w:b/>
                <w:color w:val="auto"/>
                <w:szCs w:val="21"/>
                <w:lang w:val="en-US" w:eastAsia="zh-CN"/>
              </w:rPr>
              <w:t>0</w:t>
            </w:r>
          </w:p>
        </w:tc>
        <w:tc>
          <w:tcPr>
            <w:tcW w:w="779"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5</w:t>
            </w:r>
            <w:r>
              <w:rPr>
                <w:rFonts w:hint="eastAsia" w:ascii="Times New Roman" w:hAnsi="Times New Roman" w:eastAsia="宋体"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6</w:t>
            </w:r>
            <w:r>
              <w:rPr>
                <w:rFonts w:hint="eastAsia" w:ascii="Times New Roman" w:hAnsi="Times New Roman" w:eastAsia="宋体" w:cs="Times New Roman"/>
                <w:b/>
                <w:color w:val="auto"/>
                <w:szCs w:val="21"/>
                <w:lang w:val="en-US" w:eastAsia="zh-CN"/>
              </w:rPr>
              <w:t>0</w:t>
            </w:r>
          </w:p>
        </w:tc>
        <w:tc>
          <w:tcPr>
            <w:tcW w:w="777" w:type="pct"/>
            <w:vAlign w:val="center"/>
          </w:tcPr>
          <w:p>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rPr>
              <w:t>5</w:t>
            </w:r>
            <w:r>
              <w:rPr>
                <w:rFonts w:hint="eastAsia" w:ascii="Times New Roman" w:hAnsi="Times New Roman" w:eastAsia="宋体" w:cs="Times New Roman"/>
                <w:b/>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887" w:type="pct"/>
            <w:gridSpan w:val="2"/>
            <w:shd w:val="clear" w:color="auto" w:fill="auto"/>
            <w:vAlign w:val="center"/>
          </w:tcPr>
          <w:p>
            <w:pPr>
              <w:jc w:val="center"/>
              <w:rPr>
                <w:rFonts w:ascii="Times New Roman" w:hAnsi="Times New Roman" w:eastAsia="宋体"/>
                <w:b/>
                <w:color w:val="auto"/>
                <w:kern w:val="1"/>
                <w:szCs w:val="21"/>
              </w:rPr>
            </w:pPr>
            <w:r>
              <w:rPr>
                <w:rFonts w:hint="eastAsia" w:ascii="Times New Roman" w:hAnsi="Times New Roman" w:eastAsia="宋体"/>
                <w:b/>
                <w:color w:val="auto"/>
                <w:szCs w:val="21"/>
              </w:rPr>
              <w:t>达标情况</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9"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c>
          <w:tcPr>
            <w:tcW w:w="777" w:type="pct"/>
            <w:vAlign w:val="center"/>
          </w:tcPr>
          <w:p>
            <w:pPr>
              <w:jc w:val="center"/>
              <w:rPr>
                <w:rFonts w:ascii="Times New Roman" w:hAnsi="Times New Roman" w:eastAsia="宋体"/>
                <w:b/>
                <w:color w:val="auto"/>
                <w:szCs w:val="21"/>
              </w:rPr>
            </w:pPr>
            <w:r>
              <w:rPr>
                <w:rFonts w:hint="eastAsia" w:ascii="Times New Roman" w:hAnsi="Times New Roman" w:eastAsia="宋体"/>
                <w:b/>
                <w:color w:val="auto"/>
                <w:szCs w:val="21"/>
              </w:rPr>
              <w:t>达标</w:t>
            </w:r>
          </w:p>
        </w:tc>
      </w:tr>
    </w:tbl>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color w:val="auto"/>
          <w:lang w:eastAsia="zh-CN"/>
        </w:rPr>
      </w:pPr>
      <w:r>
        <w:rPr>
          <w:rFonts w:hint="eastAsia" w:ascii="Times New Roman" w:hAnsi="Times New Roman" w:eastAsia="宋体"/>
          <w:color w:val="auto"/>
          <w:szCs w:val="24"/>
        </w:rPr>
        <w:t>表9.</w:t>
      </w:r>
      <w:r>
        <w:rPr>
          <w:rFonts w:hint="eastAsia" w:ascii="Times New Roman" w:hAnsi="Times New Roman" w:eastAsia="宋体"/>
          <w:color w:val="auto"/>
          <w:szCs w:val="24"/>
          <w:lang w:val="en-US" w:eastAsia="zh-CN"/>
        </w:rPr>
        <w:t>4</w:t>
      </w:r>
      <w:r>
        <w:rPr>
          <w:rFonts w:hint="eastAsia" w:ascii="Times New Roman" w:hAnsi="Times New Roman" w:eastAsia="宋体"/>
          <w:color w:val="auto"/>
          <w:szCs w:val="24"/>
        </w:rPr>
        <w:t>-</w:t>
      </w:r>
      <w:r>
        <w:rPr>
          <w:rFonts w:hint="eastAsia" w:ascii="Times New Roman" w:hAnsi="Times New Roman" w:eastAsia="宋体"/>
          <w:color w:val="auto"/>
          <w:szCs w:val="24"/>
          <w:lang w:val="en-US" w:eastAsia="zh-CN"/>
        </w:rPr>
        <w:t>1</w:t>
      </w:r>
      <w:r>
        <w:rPr>
          <w:rFonts w:hint="eastAsia" w:ascii="Times New Roman" w:hAnsi="Times New Roman" w:eastAsia="宋体"/>
          <w:color w:val="auto"/>
          <w:szCs w:val="20"/>
        </w:rPr>
        <w:t>监测结果表明：</w:t>
      </w:r>
      <w:r>
        <w:rPr>
          <w:rFonts w:hint="eastAsia" w:ascii="Times New Roman" w:hAnsi="Times New Roman" w:eastAsia="宋体"/>
          <w:color w:val="auto"/>
          <w:szCs w:val="24"/>
        </w:rPr>
        <w:t>验收监测期间，</w:t>
      </w:r>
      <w:r>
        <w:rPr>
          <w:rFonts w:ascii="Times New Roman" w:hAnsi="Times New Roman" w:eastAsia="宋体"/>
          <w:color w:val="auto"/>
        </w:rPr>
        <w:t>厂界</w:t>
      </w:r>
      <w:r>
        <w:rPr>
          <w:rFonts w:hint="eastAsia" w:ascii="Times New Roman" w:hAnsi="Times New Roman" w:eastAsia="宋体"/>
          <w:color w:val="auto"/>
        </w:rPr>
        <w:t>昼间噪声监测结果为5</w:t>
      </w:r>
      <w:r>
        <w:rPr>
          <w:rFonts w:hint="eastAsia" w:ascii="Times New Roman" w:hAnsi="Times New Roman" w:eastAsia="宋体"/>
          <w:color w:val="auto"/>
          <w:lang w:val="en-US" w:eastAsia="zh-CN"/>
        </w:rPr>
        <w:t>5</w:t>
      </w:r>
      <w:r>
        <w:rPr>
          <w:rFonts w:hint="eastAsia" w:ascii="Times New Roman" w:hAnsi="Times New Roman" w:eastAsia="宋体"/>
          <w:color w:val="auto"/>
        </w:rPr>
        <w:t xml:space="preserve">~ </w:t>
      </w:r>
      <w:r>
        <w:rPr>
          <w:rFonts w:hint="eastAsia" w:ascii="Times New Roman" w:hAnsi="Times New Roman" w:eastAsia="宋体"/>
          <w:color w:val="auto"/>
          <w:lang w:val="en-US" w:eastAsia="zh-CN"/>
        </w:rPr>
        <w:t>57</w:t>
      </w:r>
      <w:r>
        <w:rPr>
          <w:rFonts w:hint="eastAsia" w:ascii="Times New Roman" w:hAnsi="Times New Roman" w:eastAsia="宋体"/>
          <w:color w:val="auto"/>
        </w:rPr>
        <w:t>dB(A)，夜间噪声监测结果为</w:t>
      </w:r>
      <w:r>
        <w:rPr>
          <w:rFonts w:hint="eastAsia" w:ascii="Times New Roman" w:hAnsi="Times New Roman" w:eastAsia="宋体"/>
          <w:color w:val="auto"/>
          <w:lang w:val="en-US" w:eastAsia="zh-CN"/>
        </w:rPr>
        <w:t>45</w:t>
      </w:r>
      <w:r>
        <w:rPr>
          <w:rFonts w:hint="eastAsia" w:ascii="Times New Roman" w:hAnsi="Times New Roman" w:eastAsia="宋体"/>
          <w:color w:val="auto"/>
        </w:rPr>
        <w:t>~</w:t>
      </w:r>
      <w:r>
        <w:rPr>
          <w:rFonts w:hint="eastAsia" w:ascii="Times New Roman" w:hAnsi="Times New Roman" w:eastAsia="宋体"/>
          <w:color w:val="auto"/>
          <w:lang w:val="en-US" w:eastAsia="zh-CN"/>
        </w:rPr>
        <w:t>46</w:t>
      </w:r>
      <w:r>
        <w:rPr>
          <w:rFonts w:hint="eastAsia" w:ascii="Times New Roman" w:hAnsi="Times New Roman" w:eastAsia="宋体"/>
          <w:color w:val="auto"/>
        </w:rPr>
        <w:t xml:space="preserve"> dB(A)，</w:t>
      </w:r>
      <w:r>
        <w:rPr>
          <w:rFonts w:ascii="Times New Roman" w:hAnsi="Times New Roman" w:eastAsia="宋体"/>
          <w:color w:val="auto"/>
        </w:rPr>
        <w:t>噪声</w:t>
      </w:r>
      <w:r>
        <w:rPr>
          <w:rFonts w:hint="eastAsia" w:ascii="Times New Roman" w:hAnsi="Times New Roman" w:eastAsia="宋体"/>
          <w:color w:val="auto"/>
        </w:rPr>
        <w:t>监测结果符合</w:t>
      </w:r>
      <w:r>
        <w:rPr>
          <w:rFonts w:ascii="Times New Roman" w:hAnsi="Times New Roman" w:eastAsia="宋体"/>
          <w:color w:val="auto"/>
        </w:rPr>
        <w:t>《工业企业厂界环境噪声排放标准》</w:t>
      </w:r>
      <w:r>
        <w:rPr>
          <w:rFonts w:hint="eastAsia" w:ascii="Times New Roman" w:hAnsi="Times New Roman" w:eastAsia="宋体"/>
          <w:color w:val="auto"/>
        </w:rPr>
        <w:t>（</w:t>
      </w:r>
      <w:r>
        <w:rPr>
          <w:rFonts w:ascii="Times New Roman" w:hAnsi="Times New Roman" w:eastAsia="宋体"/>
          <w:color w:val="auto"/>
        </w:rPr>
        <w:t>GB12348-</w:t>
      </w:r>
      <w:r>
        <w:rPr>
          <w:rFonts w:hint="eastAsia" w:ascii="Times New Roman" w:hAnsi="Times New Roman" w:eastAsia="宋体"/>
          <w:color w:val="auto"/>
        </w:rPr>
        <w:t xml:space="preserve"> </w:t>
      </w:r>
      <w:r>
        <w:rPr>
          <w:rFonts w:ascii="Times New Roman" w:hAnsi="Times New Roman" w:eastAsia="宋体"/>
          <w:color w:val="auto"/>
        </w:rPr>
        <w:t>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类标准</w:t>
      </w:r>
      <w:r>
        <w:rPr>
          <w:rFonts w:hint="eastAsia"/>
          <w:color w:val="auto"/>
          <w:lang w:eastAsia="zh-CN"/>
        </w:rPr>
        <w:t>。</w:t>
      </w:r>
    </w:p>
    <w:p>
      <w:pPr>
        <w:pStyle w:val="104"/>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b/>
          <w:bCs/>
          <w:color w:val="auto"/>
          <w:sz w:val="30"/>
          <w:szCs w:val="30"/>
          <w:highlight w:val="none"/>
          <w:lang w:val="en-US" w:eastAsia="zh-CN"/>
        </w:rPr>
      </w:pPr>
      <w:r>
        <w:rPr>
          <w:rFonts w:hint="eastAsia"/>
          <w:b/>
          <w:bCs/>
          <w:color w:val="auto"/>
          <w:sz w:val="30"/>
          <w:szCs w:val="30"/>
          <w:highlight w:val="none"/>
          <w:lang w:val="en-US" w:eastAsia="zh-CN"/>
        </w:rPr>
        <w:t>9.5厂界生活污水监测结果</w:t>
      </w:r>
    </w:p>
    <w:p>
      <w:pPr>
        <w:pStyle w:val="104"/>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b w:val="0"/>
          <w:bCs w:val="0"/>
          <w:color w:val="auto"/>
          <w:sz w:val="30"/>
          <w:szCs w:val="30"/>
          <w:highlight w:val="none"/>
          <w:lang w:val="en-US" w:eastAsia="zh-CN"/>
        </w:rPr>
      </w:pPr>
      <w:r>
        <w:rPr>
          <w:rFonts w:hint="eastAsia"/>
          <w:b/>
          <w:bCs/>
          <w:color w:val="auto"/>
          <w:sz w:val="30"/>
          <w:szCs w:val="30"/>
          <w:highlight w:val="none"/>
          <w:lang w:val="en-US" w:eastAsia="zh-CN"/>
        </w:rPr>
        <w:t xml:space="preserve">            </w:t>
      </w:r>
      <w:r>
        <w:rPr>
          <w:rFonts w:hint="eastAsia"/>
          <w:b w:val="0"/>
          <w:bCs w:val="0"/>
          <w:color w:val="auto"/>
          <w:sz w:val="30"/>
          <w:szCs w:val="30"/>
          <w:highlight w:val="none"/>
          <w:lang w:val="en-US" w:eastAsia="zh-CN"/>
        </w:rPr>
        <w:t>厂界生活污水监测结果祥见表9.5-1.</w:t>
      </w:r>
    </w:p>
    <w:tbl>
      <w:tblPr>
        <w:tblStyle w:val="29"/>
        <w:tblpPr w:leftFromText="180" w:rightFromText="180" w:vertAnchor="text" w:horzAnchor="margin" w:tblpXSpec="center" w:tblpY="66"/>
        <w:tblW w:w="83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728"/>
        <w:gridCol w:w="915"/>
        <w:gridCol w:w="735"/>
        <w:gridCol w:w="660"/>
        <w:gridCol w:w="645"/>
        <w:gridCol w:w="738"/>
        <w:gridCol w:w="738"/>
        <w:gridCol w:w="738"/>
        <w:gridCol w:w="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79" w:type="dxa"/>
            <w:gridSpan w:val="2"/>
            <w:noWrap w:val="0"/>
            <w:vAlign w:val="center"/>
          </w:tcPr>
          <w:p>
            <w:pPr>
              <w:jc w:val="center"/>
              <w:rPr>
                <w:rFonts w:hint="default" w:ascii="宋体" w:hAnsi="宋体" w:eastAsia="宋体"/>
                <w:b/>
                <w:bCs w:val="0"/>
                <w:sz w:val="21"/>
                <w:szCs w:val="21"/>
                <w:lang w:val="en-US" w:eastAsia="zh-CN"/>
              </w:rPr>
            </w:pPr>
            <w:r>
              <w:rPr>
                <w:rFonts w:hint="eastAsia" w:ascii="宋体" w:hAnsi="宋体"/>
                <w:b/>
                <w:bCs w:val="0"/>
                <w:sz w:val="21"/>
                <w:szCs w:val="21"/>
                <w:lang w:val="en-US" w:eastAsia="zh-CN"/>
              </w:rPr>
              <w:t>监测点位</w:t>
            </w:r>
          </w:p>
        </w:tc>
        <w:tc>
          <w:tcPr>
            <w:tcW w:w="2955" w:type="dxa"/>
            <w:gridSpan w:val="4"/>
            <w:noWrap w:val="0"/>
            <w:vAlign w:val="center"/>
          </w:tcPr>
          <w:p>
            <w:pPr>
              <w:ind w:firstLine="422" w:firstLineChars="200"/>
              <w:jc w:val="both"/>
              <w:rPr>
                <w:rFonts w:ascii="宋体" w:hAnsi="宋体"/>
                <w:b/>
                <w:sz w:val="21"/>
                <w:szCs w:val="21"/>
              </w:rPr>
            </w:pPr>
            <w:r>
              <w:rPr>
                <w:rFonts w:hint="eastAsia" w:ascii="宋体" w:hAnsi="宋体"/>
                <w:b/>
                <w:sz w:val="21"/>
                <w:szCs w:val="21"/>
              </w:rPr>
              <w:t>厂区污水出口</w:t>
            </w:r>
          </w:p>
        </w:tc>
        <w:tc>
          <w:tcPr>
            <w:tcW w:w="2955" w:type="dxa"/>
            <w:gridSpan w:val="4"/>
            <w:noWrap w:val="0"/>
            <w:vAlign w:val="center"/>
          </w:tcPr>
          <w:p>
            <w:pPr>
              <w:ind w:firstLine="211" w:firstLineChars="100"/>
              <w:jc w:val="both"/>
              <w:rPr>
                <w:rFonts w:hint="default" w:ascii="宋体" w:hAnsi="宋体" w:eastAsiaTheme="minorEastAsia"/>
                <w:b/>
                <w:sz w:val="21"/>
                <w:szCs w:val="21"/>
                <w:lang w:val="en-US" w:eastAsia="zh-CN"/>
              </w:rPr>
            </w:pPr>
            <w:r>
              <w:rPr>
                <w:rFonts w:hint="eastAsia" w:ascii="宋体" w:hAnsi="宋体"/>
                <w:b/>
                <w:sz w:val="21"/>
                <w:szCs w:val="21"/>
                <w:lang w:val="en-US" w:eastAsia="zh-CN"/>
              </w:rPr>
              <w:t>厂区污水出口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434" w:type="dxa"/>
            <w:gridSpan w:val="6"/>
            <w:noWrap w:val="0"/>
            <w:vAlign w:val="center"/>
          </w:tcPr>
          <w:p>
            <w:pPr>
              <w:jc w:val="left"/>
              <w:textAlignment w:val="bottom"/>
              <w:rPr>
                <w:rFonts w:hint="default" w:ascii="宋体" w:hAnsi="宋体" w:eastAsia="宋体"/>
                <w:b/>
                <w:color w:val="000000"/>
                <w:sz w:val="21"/>
                <w:szCs w:val="21"/>
                <w:lang w:val="en-US" w:eastAsia="zh-CN"/>
              </w:rPr>
            </w:pPr>
            <w:r>
              <w:rPr>
                <w:rFonts w:hint="eastAsia" w:ascii="宋体" w:hAnsi="宋体"/>
                <w:b/>
                <w:color w:val="000000"/>
                <w:sz w:val="21"/>
                <w:szCs w:val="21"/>
              </w:rPr>
              <w:t>监测日期：2021年</w:t>
            </w:r>
            <w:r>
              <w:rPr>
                <w:rFonts w:hint="eastAsia" w:ascii="宋体" w:hAnsi="宋体"/>
                <w:b/>
                <w:color w:val="000000"/>
                <w:sz w:val="21"/>
                <w:szCs w:val="21"/>
                <w:lang w:val="en-US" w:eastAsia="zh-CN"/>
              </w:rPr>
              <w:t>11</w:t>
            </w:r>
            <w:r>
              <w:rPr>
                <w:rFonts w:hint="eastAsia" w:ascii="宋体" w:hAnsi="宋体"/>
                <w:b/>
                <w:color w:val="000000"/>
                <w:sz w:val="21"/>
                <w:szCs w:val="21"/>
              </w:rPr>
              <w:t>月</w:t>
            </w:r>
            <w:r>
              <w:rPr>
                <w:rFonts w:hint="eastAsia" w:ascii="宋体" w:hAnsi="宋体"/>
                <w:b/>
                <w:color w:val="000000"/>
                <w:sz w:val="21"/>
                <w:szCs w:val="21"/>
                <w:lang w:val="en-US" w:eastAsia="zh-CN"/>
              </w:rPr>
              <w:t>10</w:t>
            </w:r>
            <w:r>
              <w:rPr>
                <w:rFonts w:hint="eastAsia" w:ascii="宋体" w:hAnsi="宋体"/>
                <w:b/>
                <w:color w:val="000000"/>
                <w:sz w:val="21"/>
                <w:szCs w:val="21"/>
              </w:rPr>
              <w:t>日</w:t>
            </w:r>
          </w:p>
        </w:tc>
        <w:tc>
          <w:tcPr>
            <w:tcW w:w="2955" w:type="dxa"/>
            <w:gridSpan w:val="4"/>
            <w:noWrap w:val="0"/>
            <w:vAlign w:val="center"/>
          </w:tcPr>
          <w:p>
            <w:pPr>
              <w:jc w:val="left"/>
              <w:textAlignment w:val="bottom"/>
              <w:rPr>
                <w:rFonts w:hint="eastAsia" w:ascii="宋体" w:hAnsi="宋体"/>
                <w:b/>
                <w:color w:val="000000"/>
                <w:sz w:val="21"/>
                <w:szCs w:val="21"/>
              </w:rPr>
            </w:pPr>
            <w:r>
              <w:rPr>
                <w:rFonts w:hint="eastAsia" w:ascii="宋体" w:hAnsi="宋体"/>
                <w:b/>
                <w:color w:val="000000"/>
                <w:sz w:val="21"/>
                <w:szCs w:val="21"/>
              </w:rPr>
              <w:t>2021年1</w:t>
            </w:r>
            <w:r>
              <w:rPr>
                <w:rFonts w:hint="eastAsia" w:ascii="宋体" w:hAnsi="宋体"/>
                <w:b/>
                <w:color w:val="000000"/>
                <w:sz w:val="21"/>
                <w:szCs w:val="21"/>
                <w:lang w:val="en-US" w:eastAsia="zh-CN"/>
              </w:rPr>
              <w:t>1</w:t>
            </w:r>
            <w:r>
              <w:rPr>
                <w:rFonts w:hint="eastAsia" w:ascii="宋体" w:hAnsi="宋体"/>
                <w:b/>
                <w:color w:val="000000"/>
                <w:sz w:val="21"/>
                <w:szCs w:val="21"/>
              </w:rPr>
              <w:t>月</w:t>
            </w:r>
            <w:r>
              <w:rPr>
                <w:rFonts w:hint="eastAsia" w:ascii="宋体" w:hAnsi="宋体"/>
                <w:b/>
                <w:color w:val="000000"/>
                <w:sz w:val="21"/>
                <w:szCs w:val="21"/>
                <w:lang w:val="en-US" w:eastAsia="zh-CN"/>
              </w:rPr>
              <w:t>11</w:t>
            </w:r>
            <w:r>
              <w:rPr>
                <w:rFonts w:hint="eastAsia" w:ascii="宋体" w:hAnsi="宋体"/>
                <w:b/>
                <w:color w:val="000000"/>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restart"/>
            <w:noWrap w:val="0"/>
            <w:vAlign w:val="center"/>
          </w:tcPr>
          <w:p>
            <w:pPr>
              <w:jc w:val="center"/>
              <w:rPr>
                <w:rFonts w:hint="eastAsia" w:ascii="宋体" w:hAnsi="宋体" w:eastAsia="宋体"/>
                <w:b/>
                <w:bCs w:val="0"/>
                <w:sz w:val="21"/>
                <w:szCs w:val="21"/>
                <w:lang w:val="en-US" w:eastAsia="zh-CN"/>
              </w:rPr>
            </w:pPr>
            <w:r>
              <w:rPr>
                <w:rFonts w:hint="eastAsia" w:ascii="宋体" w:hAnsi="宋体"/>
                <w:b/>
                <w:bCs w:val="0"/>
                <w:sz w:val="21"/>
                <w:szCs w:val="21"/>
                <w:lang w:val="en-US" w:eastAsia="zh-CN"/>
              </w:rPr>
              <w:t>分析项目</w:t>
            </w:r>
          </w:p>
        </w:tc>
        <w:tc>
          <w:tcPr>
            <w:tcW w:w="1728" w:type="dxa"/>
            <w:noWrap w:val="0"/>
            <w:vAlign w:val="center"/>
          </w:tcPr>
          <w:p>
            <w:pPr>
              <w:jc w:val="center"/>
              <w:rPr>
                <w:rFonts w:hint="default" w:ascii="宋体" w:hAnsi="Times New Roman" w:eastAsia="宋体" w:cs="Times New Roman"/>
                <w:b w:val="0"/>
                <w:bCs/>
                <w:kern w:val="2"/>
                <w:sz w:val="21"/>
                <w:szCs w:val="21"/>
                <w:vertAlign w:val="baseline"/>
                <w:lang w:val="en-US" w:eastAsia="zh-CN" w:bidi="ar-SA"/>
              </w:rPr>
            </w:pPr>
            <w:r>
              <w:rPr>
                <w:rFonts w:hint="eastAsia" w:ascii="宋体"/>
                <w:b w:val="0"/>
                <w:bCs/>
                <w:sz w:val="21"/>
                <w:szCs w:val="21"/>
                <w:vertAlign w:val="baseline"/>
                <w:lang w:val="en-US" w:eastAsia="zh-CN"/>
              </w:rPr>
              <w:t>pH（无量纲）</w:t>
            </w:r>
          </w:p>
        </w:tc>
        <w:tc>
          <w:tcPr>
            <w:tcW w:w="91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bCs/>
                <w:color w:val="000000"/>
                <w:sz w:val="21"/>
                <w:szCs w:val="21"/>
                <w:lang w:val="en-US" w:eastAsia="zh-CN"/>
              </w:rPr>
              <w:t>7.37</w:t>
            </w:r>
          </w:p>
        </w:tc>
        <w:tc>
          <w:tcPr>
            <w:tcW w:w="73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bCs/>
                <w:color w:val="000000"/>
                <w:sz w:val="21"/>
                <w:szCs w:val="21"/>
                <w:lang w:val="en-US" w:eastAsia="zh-CN"/>
              </w:rPr>
              <w:t>7.29</w:t>
            </w:r>
          </w:p>
        </w:tc>
        <w:tc>
          <w:tcPr>
            <w:tcW w:w="660"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bCs/>
                <w:color w:val="000000"/>
                <w:sz w:val="21"/>
                <w:szCs w:val="21"/>
                <w:lang w:val="en-US" w:eastAsia="zh-CN"/>
              </w:rPr>
              <w:t>7.32</w:t>
            </w:r>
          </w:p>
        </w:tc>
        <w:tc>
          <w:tcPr>
            <w:tcW w:w="64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bCs/>
                <w:color w:val="000000"/>
                <w:sz w:val="21"/>
                <w:szCs w:val="21"/>
                <w:lang w:val="en-US" w:eastAsia="zh-CN"/>
              </w:rPr>
              <w:t>7.26</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7.16</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7.21</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7.18</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numPr>
                <w:ilvl w:val="0"/>
                <w:numId w:val="0"/>
              </w:numPr>
              <w:spacing w:before="0"/>
              <w:ind w:left="0" w:leftChars="0" w:right="0" w:rightChars="0" w:firstLine="0" w:firstLineChars="0"/>
              <w:jc w:val="center"/>
              <w:rPr>
                <w:rFonts w:hint="default" w:ascii="宋体" w:hAnsi="Times New Roman" w:eastAsia="宋体" w:cs="Times New Roman"/>
                <w:b w:val="0"/>
                <w:bCs/>
                <w:kern w:val="2"/>
                <w:sz w:val="21"/>
                <w:szCs w:val="21"/>
                <w:vertAlign w:val="baseline"/>
                <w:lang w:val="en-US" w:eastAsia="zh-CN" w:bidi="ar-SA"/>
              </w:rPr>
            </w:pPr>
            <w:r>
              <w:rPr>
                <w:rFonts w:hint="eastAsia" w:ascii="宋体" w:hAnsi="宋体"/>
                <w:bCs/>
                <w:color w:val="000000"/>
                <w:sz w:val="21"/>
                <w:szCs w:val="21"/>
                <w:lang w:val="en-US" w:eastAsia="zh-CN"/>
              </w:rPr>
              <w:t>色度（倍）</w:t>
            </w:r>
          </w:p>
        </w:tc>
        <w:tc>
          <w:tcPr>
            <w:tcW w:w="91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30</w:t>
            </w:r>
          </w:p>
        </w:tc>
        <w:tc>
          <w:tcPr>
            <w:tcW w:w="73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30</w:t>
            </w:r>
          </w:p>
        </w:tc>
        <w:tc>
          <w:tcPr>
            <w:tcW w:w="660"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30</w:t>
            </w:r>
          </w:p>
        </w:tc>
        <w:tc>
          <w:tcPr>
            <w:tcW w:w="64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30</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20</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30</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30</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ind w:firstLine="210" w:firstLineChars="100"/>
              <w:jc w:val="both"/>
              <w:rPr>
                <w:rFonts w:hint="default" w:ascii="宋体" w:hAnsi="Times New Roman" w:eastAsia="宋体" w:cs="Times New Roman"/>
                <w:b w:val="0"/>
                <w:bCs/>
                <w:kern w:val="2"/>
                <w:sz w:val="21"/>
                <w:szCs w:val="21"/>
                <w:vertAlign w:val="baseline"/>
                <w:lang w:val="en-US" w:eastAsia="zh-CN" w:bidi="ar-SA"/>
              </w:rPr>
            </w:pPr>
            <w:r>
              <w:rPr>
                <w:rFonts w:hint="eastAsia" w:ascii="宋体" w:hAnsi="Times New Roman" w:eastAsia="宋体" w:cs="Times New Roman"/>
                <w:b w:val="0"/>
                <w:bCs/>
                <w:kern w:val="2"/>
                <w:sz w:val="21"/>
                <w:szCs w:val="21"/>
                <w:vertAlign w:val="baseline"/>
                <w:lang w:val="en-US" w:eastAsia="zh-CN" w:bidi="ar-SA"/>
              </w:rPr>
              <w:t>氨氮</w:t>
            </w:r>
            <w:r>
              <w:rPr>
                <w:rFonts w:hint="eastAsia" w:ascii="宋体" w:hAnsi="宋体"/>
                <w:bCs/>
                <w:color w:val="000000"/>
                <w:sz w:val="21"/>
                <w:szCs w:val="21"/>
                <w:lang w:val="en-US" w:eastAsia="zh-CN"/>
              </w:rPr>
              <w:t>（mg/L）</w:t>
            </w:r>
          </w:p>
        </w:tc>
        <w:tc>
          <w:tcPr>
            <w:tcW w:w="915" w:type="dxa"/>
            <w:noWrap w:val="0"/>
            <w:vAlign w:val="center"/>
          </w:tcPr>
          <w:p>
            <w:pPr>
              <w:ind w:firstLine="210" w:firstLineChars="100"/>
              <w:jc w:val="both"/>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6.19</w:t>
            </w:r>
          </w:p>
        </w:tc>
        <w:tc>
          <w:tcPr>
            <w:tcW w:w="735" w:type="dxa"/>
            <w:noWrap w:val="0"/>
            <w:vAlign w:val="center"/>
          </w:tcPr>
          <w:p>
            <w:pPr>
              <w:jc w:val="center"/>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6.40</w:t>
            </w:r>
          </w:p>
        </w:tc>
        <w:tc>
          <w:tcPr>
            <w:tcW w:w="660"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6.50</w:t>
            </w:r>
          </w:p>
        </w:tc>
        <w:tc>
          <w:tcPr>
            <w:tcW w:w="64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6.45</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6.70</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6.83</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6.90</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jc w:val="center"/>
              <w:rPr>
                <w:rFonts w:hint="default" w:ascii="宋体" w:hAnsi="Times New Roman" w:eastAsia="宋体" w:cs="Times New Roman"/>
                <w:b w:val="0"/>
                <w:bCs/>
                <w:kern w:val="2"/>
                <w:sz w:val="21"/>
                <w:szCs w:val="21"/>
                <w:vertAlign w:val="baseline"/>
                <w:lang w:val="en-US" w:eastAsia="zh-CN" w:bidi="ar-SA"/>
              </w:rPr>
            </w:pPr>
            <w:r>
              <w:rPr>
                <w:rFonts w:hint="eastAsia" w:ascii="宋体"/>
                <w:b w:val="0"/>
                <w:bCs/>
                <w:sz w:val="21"/>
                <w:szCs w:val="21"/>
                <w:vertAlign w:val="baseline"/>
                <w:lang w:val="en-US" w:eastAsia="zh-CN"/>
              </w:rPr>
              <w:t>五日生化需氧量（mg/L）</w:t>
            </w:r>
          </w:p>
        </w:tc>
        <w:tc>
          <w:tcPr>
            <w:tcW w:w="915" w:type="dxa"/>
            <w:noWrap w:val="0"/>
            <w:vAlign w:val="center"/>
          </w:tcPr>
          <w:p>
            <w:pPr>
              <w:jc w:val="center"/>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19.8</w:t>
            </w:r>
          </w:p>
        </w:tc>
        <w:tc>
          <w:tcPr>
            <w:tcW w:w="735" w:type="dxa"/>
            <w:noWrap w:val="0"/>
            <w:vAlign w:val="center"/>
          </w:tcPr>
          <w:p>
            <w:pPr>
              <w:jc w:val="center"/>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18.7</w:t>
            </w:r>
          </w:p>
        </w:tc>
        <w:tc>
          <w:tcPr>
            <w:tcW w:w="660"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19.6</w:t>
            </w:r>
          </w:p>
        </w:tc>
        <w:tc>
          <w:tcPr>
            <w:tcW w:w="64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19.4</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17.8</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16.9</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17.7</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jc w:val="center"/>
              <w:rPr>
                <w:rFonts w:hint="default" w:ascii="宋体" w:hAnsi="Times New Roman" w:eastAsia="宋体" w:cs="Times New Roman"/>
                <w:b w:val="0"/>
                <w:bCs/>
                <w:kern w:val="2"/>
                <w:sz w:val="21"/>
                <w:szCs w:val="21"/>
                <w:vertAlign w:val="baseline"/>
                <w:lang w:val="en-US" w:eastAsia="zh-CN" w:bidi="ar-SA"/>
              </w:rPr>
            </w:pPr>
            <w:r>
              <w:rPr>
                <w:rFonts w:hint="eastAsia" w:ascii="宋体" w:hAnsi="宋体"/>
                <w:bCs/>
                <w:color w:val="000000"/>
                <w:sz w:val="21"/>
                <w:szCs w:val="21"/>
                <w:lang w:val="en-US" w:eastAsia="zh-CN"/>
              </w:rPr>
              <w:t>溶解性总固体（mg/L）</w:t>
            </w:r>
          </w:p>
        </w:tc>
        <w:tc>
          <w:tcPr>
            <w:tcW w:w="915" w:type="dxa"/>
            <w:noWrap w:val="0"/>
            <w:vAlign w:val="center"/>
          </w:tcPr>
          <w:p>
            <w:pPr>
              <w:jc w:val="center"/>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753</w:t>
            </w:r>
          </w:p>
        </w:tc>
        <w:tc>
          <w:tcPr>
            <w:tcW w:w="735" w:type="dxa"/>
            <w:noWrap w:val="0"/>
            <w:vAlign w:val="center"/>
          </w:tcPr>
          <w:p>
            <w:pPr>
              <w:jc w:val="center"/>
              <w:textAlignment w:val="bottom"/>
              <w:rPr>
                <w:rFonts w:hint="default" w:ascii="宋体" w:hAnsi="宋体" w:eastAsia="宋体"/>
                <w:bCs/>
                <w:sz w:val="21"/>
                <w:szCs w:val="21"/>
                <w:lang w:val="en-US" w:eastAsia="zh-CN"/>
              </w:rPr>
            </w:pPr>
            <w:r>
              <w:rPr>
                <w:rFonts w:hint="eastAsia" w:ascii="宋体" w:hAnsi="宋体" w:eastAsia="宋体"/>
                <w:bCs/>
                <w:sz w:val="21"/>
                <w:szCs w:val="21"/>
                <w:lang w:val="en-US" w:eastAsia="zh-CN"/>
              </w:rPr>
              <w:t>726</w:t>
            </w:r>
          </w:p>
        </w:tc>
        <w:tc>
          <w:tcPr>
            <w:tcW w:w="660"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741</w:t>
            </w:r>
          </w:p>
        </w:tc>
        <w:tc>
          <w:tcPr>
            <w:tcW w:w="645" w:type="dxa"/>
            <w:noWrap w:val="0"/>
            <w:vAlign w:val="center"/>
          </w:tcPr>
          <w:p>
            <w:pPr>
              <w:jc w:val="center"/>
              <w:textAlignment w:val="bottom"/>
              <w:rPr>
                <w:rFonts w:hint="default" w:ascii="宋体" w:hAnsi="宋体" w:eastAsia="宋体"/>
                <w:bCs/>
                <w:color w:val="000000"/>
                <w:sz w:val="21"/>
                <w:szCs w:val="21"/>
                <w:lang w:val="en-US" w:eastAsia="zh-CN"/>
              </w:rPr>
            </w:pPr>
            <w:r>
              <w:rPr>
                <w:rFonts w:hint="eastAsia" w:ascii="宋体" w:hAnsi="宋体" w:eastAsia="宋体"/>
                <w:bCs/>
                <w:color w:val="000000"/>
                <w:sz w:val="21"/>
                <w:szCs w:val="21"/>
                <w:lang w:val="en-US" w:eastAsia="zh-CN"/>
              </w:rPr>
              <w:t>738</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713</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731</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746</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jc w:val="center"/>
              <w:rPr>
                <w:rFonts w:hint="eastAsia" w:ascii="宋体"/>
                <w:b w:val="0"/>
                <w:bCs/>
                <w:sz w:val="21"/>
                <w:szCs w:val="21"/>
                <w:vertAlign w:val="baseline"/>
                <w:lang w:val="en-US" w:eastAsia="zh-CN"/>
              </w:rPr>
            </w:pPr>
            <w:r>
              <w:rPr>
                <w:rFonts w:hint="eastAsia" w:ascii="宋体" w:hAnsi="宋体"/>
                <w:bCs/>
                <w:color w:val="000000"/>
                <w:sz w:val="21"/>
                <w:szCs w:val="21"/>
                <w:lang w:val="en-US" w:eastAsia="zh-CN"/>
              </w:rPr>
              <w:t>溶解氧（mg/L）</w:t>
            </w:r>
          </w:p>
        </w:tc>
        <w:tc>
          <w:tcPr>
            <w:tcW w:w="915" w:type="dxa"/>
            <w:noWrap w:val="0"/>
            <w:vAlign w:val="center"/>
          </w:tcPr>
          <w:p>
            <w:pPr>
              <w:jc w:val="center"/>
              <w:textAlignment w:val="bottom"/>
              <w:rPr>
                <w:rFonts w:hint="default" w:ascii="宋体" w:hAnsi="宋体"/>
                <w:bCs/>
                <w:sz w:val="21"/>
                <w:szCs w:val="21"/>
                <w:lang w:val="en-US" w:eastAsia="zh-CN"/>
              </w:rPr>
            </w:pPr>
            <w:r>
              <w:rPr>
                <w:rFonts w:hint="eastAsia" w:ascii="宋体" w:hAnsi="宋体"/>
                <w:bCs/>
                <w:sz w:val="21"/>
                <w:szCs w:val="21"/>
                <w:lang w:val="en-US" w:eastAsia="zh-CN"/>
              </w:rPr>
              <w:t>2.05</w:t>
            </w:r>
          </w:p>
        </w:tc>
        <w:tc>
          <w:tcPr>
            <w:tcW w:w="735" w:type="dxa"/>
            <w:noWrap w:val="0"/>
            <w:vAlign w:val="center"/>
          </w:tcPr>
          <w:p>
            <w:pPr>
              <w:jc w:val="center"/>
              <w:textAlignment w:val="bottom"/>
              <w:rPr>
                <w:rFonts w:hint="default" w:ascii="宋体" w:hAnsi="宋体"/>
                <w:bCs/>
                <w:sz w:val="21"/>
                <w:szCs w:val="21"/>
                <w:lang w:val="en-US" w:eastAsia="zh-CN"/>
              </w:rPr>
            </w:pPr>
            <w:r>
              <w:rPr>
                <w:rFonts w:hint="eastAsia" w:ascii="宋体" w:hAnsi="宋体"/>
                <w:bCs/>
                <w:sz w:val="21"/>
                <w:szCs w:val="21"/>
                <w:lang w:val="en-US" w:eastAsia="zh-CN"/>
              </w:rPr>
              <w:t>2.30</w:t>
            </w:r>
          </w:p>
        </w:tc>
        <w:tc>
          <w:tcPr>
            <w:tcW w:w="660"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2.34</w:t>
            </w:r>
          </w:p>
        </w:tc>
        <w:tc>
          <w:tcPr>
            <w:tcW w:w="645"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2.12</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2.15</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2.27</w:t>
            </w:r>
          </w:p>
        </w:tc>
        <w:tc>
          <w:tcPr>
            <w:tcW w:w="738"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2.30</w:t>
            </w:r>
          </w:p>
        </w:tc>
        <w:tc>
          <w:tcPr>
            <w:tcW w:w="741" w:type="dxa"/>
            <w:noWrap w:val="0"/>
            <w:vAlign w:val="center"/>
          </w:tcPr>
          <w:p>
            <w:pPr>
              <w:jc w:val="center"/>
              <w:textAlignment w:val="bottom"/>
              <w:rPr>
                <w:rFonts w:hint="default" w:ascii="宋体" w:hAnsi="宋体"/>
                <w:bCs/>
                <w:color w:val="000000"/>
                <w:sz w:val="21"/>
                <w:szCs w:val="21"/>
                <w:lang w:val="en-US" w:eastAsia="zh-CN"/>
              </w:rPr>
            </w:pPr>
            <w:r>
              <w:rPr>
                <w:rFonts w:hint="eastAsia" w:ascii="宋体" w:hAnsi="宋体"/>
                <w:bCs/>
                <w:color w:val="000000"/>
                <w:sz w:val="21"/>
                <w:szCs w:val="21"/>
                <w:lang w:val="en-US" w:eastAsia="zh-CN"/>
              </w:rPr>
              <w:t>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751" w:type="dxa"/>
            <w:vMerge w:val="continue"/>
            <w:noWrap w:val="0"/>
            <w:vAlign w:val="center"/>
          </w:tcPr>
          <w:p>
            <w:pPr>
              <w:jc w:val="center"/>
              <w:rPr>
                <w:rFonts w:hint="default" w:ascii="宋体" w:hAnsi="宋体" w:eastAsia="宋体"/>
                <w:bCs/>
                <w:sz w:val="21"/>
                <w:szCs w:val="21"/>
                <w:lang w:val="en-US" w:eastAsia="zh-CN"/>
              </w:rPr>
            </w:pPr>
          </w:p>
        </w:tc>
        <w:tc>
          <w:tcPr>
            <w:tcW w:w="1728" w:type="dxa"/>
            <w:noWrap w:val="0"/>
            <w:vAlign w:val="center"/>
          </w:tcPr>
          <w:p>
            <w:pPr>
              <w:jc w:val="center"/>
              <w:rPr>
                <w:rFonts w:hint="eastAsia" w:ascii="宋体"/>
                <w:b w:val="0"/>
                <w:bCs/>
                <w:sz w:val="21"/>
                <w:szCs w:val="21"/>
                <w:vertAlign w:val="baseline"/>
                <w:lang w:val="en-US" w:eastAsia="zh-CN"/>
              </w:rPr>
            </w:pPr>
            <w:r>
              <w:rPr>
                <w:rFonts w:hint="eastAsia" w:ascii="宋体" w:hAnsi="宋体"/>
                <w:bCs/>
                <w:color w:val="000000"/>
                <w:sz w:val="21"/>
                <w:szCs w:val="21"/>
                <w:lang w:val="en-US" w:eastAsia="zh-CN"/>
              </w:rPr>
              <w:t>总大肠菌群（MPN/L）</w:t>
            </w:r>
          </w:p>
        </w:tc>
        <w:tc>
          <w:tcPr>
            <w:tcW w:w="915" w:type="dxa"/>
            <w:noWrap w:val="0"/>
            <w:vAlign w:val="center"/>
          </w:tcPr>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2.4</w:t>
            </w:r>
          </w:p>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w:t>
            </w:r>
          </w:p>
          <w:p>
            <w:pPr>
              <w:jc w:val="center"/>
              <w:textAlignment w:val="bottom"/>
              <w:rPr>
                <w:rFonts w:hint="eastAsia" w:ascii="宋体" w:hAnsi="宋体"/>
                <w:bCs/>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c>
          <w:tcPr>
            <w:tcW w:w="735" w:type="dxa"/>
            <w:noWrap w:val="0"/>
            <w:vAlign w:val="center"/>
          </w:tcPr>
          <w:p>
            <w:pPr>
              <w:jc w:val="both"/>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1.7×</w:t>
            </w:r>
          </w:p>
          <w:p>
            <w:pPr>
              <w:jc w:val="both"/>
              <w:textAlignment w:val="bottom"/>
              <w:rPr>
                <w:rFonts w:hint="eastAsia" w:ascii="宋体" w:hAnsi="宋体"/>
                <w:bCs/>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c>
          <w:tcPr>
            <w:tcW w:w="660" w:type="dxa"/>
            <w:noWrap w:val="0"/>
            <w:vAlign w:val="center"/>
          </w:tcPr>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1.4×10</w:t>
            </w:r>
            <w:r>
              <w:rPr>
                <w:rFonts w:hint="eastAsia" w:ascii="宋体" w:hAnsi="宋体" w:cs="Times New Roman"/>
                <w:bCs/>
                <w:color w:val="000000"/>
                <w:kern w:val="2"/>
                <w:sz w:val="21"/>
                <w:szCs w:val="21"/>
                <w:vertAlign w:val="superscript"/>
                <w:lang w:val="en-US" w:eastAsia="zh-CN" w:bidi="ar-SA"/>
              </w:rPr>
              <w:t>3</w:t>
            </w:r>
          </w:p>
        </w:tc>
        <w:tc>
          <w:tcPr>
            <w:tcW w:w="645" w:type="dxa"/>
            <w:noWrap w:val="0"/>
            <w:vAlign w:val="center"/>
          </w:tcPr>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2.1×10</w:t>
            </w:r>
            <w:r>
              <w:rPr>
                <w:rFonts w:hint="eastAsia" w:ascii="宋体" w:hAnsi="宋体" w:cs="Times New Roman"/>
                <w:bCs/>
                <w:color w:val="000000"/>
                <w:kern w:val="2"/>
                <w:sz w:val="21"/>
                <w:szCs w:val="21"/>
                <w:vertAlign w:val="superscript"/>
                <w:lang w:val="en-US" w:eastAsia="zh-CN" w:bidi="ar-SA"/>
              </w:rPr>
              <w:t>3</w:t>
            </w:r>
          </w:p>
        </w:tc>
        <w:tc>
          <w:tcPr>
            <w:tcW w:w="738" w:type="dxa"/>
            <w:noWrap w:val="0"/>
            <w:vAlign w:val="center"/>
          </w:tcPr>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1.6×</w:t>
            </w:r>
          </w:p>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c>
          <w:tcPr>
            <w:tcW w:w="738" w:type="dxa"/>
            <w:noWrap w:val="0"/>
            <w:vAlign w:val="center"/>
          </w:tcPr>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2.1×</w:t>
            </w:r>
          </w:p>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c>
          <w:tcPr>
            <w:tcW w:w="738" w:type="dxa"/>
            <w:noWrap w:val="0"/>
            <w:vAlign w:val="center"/>
          </w:tcPr>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2.0×</w:t>
            </w:r>
          </w:p>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c>
          <w:tcPr>
            <w:tcW w:w="741" w:type="dxa"/>
            <w:noWrap w:val="0"/>
            <w:vAlign w:val="center"/>
          </w:tcPr>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2.1</w:t>
            </w:r>
          </w:p>
          <w:p>
            <w:pPr>
              <w:jc w:val="center"/>
              <w:textAlignment w:val="bottom"/>
              <w:rPr>
                <w:rFonts w:hint="eastAsia" w:ascii="宋体" w:hAnsi="宋体" w:cs="Times New Roman"/>
                <w:bCs/>
                <w:color w:val="000000"/>
                <w:kern w:val="2"/>
                <w:sz w:val="21"/>
                <w:szCs w:val="21"/>
                <w:lang w:val="en-US" w:eastAsia="zh-CN" w:bidi="ar-SA"/>
              </w:rPr>
            </w:pPr>
            <w:r>
              <w:rPr>
                <w:rFonts w:hint="eastAsia" w:ascii="宋体" w:hAnsi="宋体" w:cs="Times New Roman"/>
                <w:bCs/>
                <w:color w:val="000000"/>
                <w:kern w:val="2"/>
                <w:sz w:val="21"/>
                <w:szCs w:val="21"/>
                <w:lang w:val="en-US" w:eastAsia="zh-CN" w:bidi="ar-SA"/>
              </w:rPr>
              <w:t>×</w:t>
            </w:r>
          </w:p>
          <w:p>
            <w:pPr>
              <w:jc w:val="center"/>
              <w:textAlignment w:val="bottom"/>
              <w:rPr>
                <w:rFonts w:hint="eastAsia" w:ascii="宋体" w:hAnsi="宋体"/>
                <w:bCs/>
                <w:color w:val="000000"/>
                <w:sz w:val="21"/>
                <w:szCs w:val="21"/>
                <w:lang w:val="en-US" w:eastAsia="zh-CN"/>
              </w:rPr>
            </w:pPr>
            <w:r>
              <w:rPr>
                <w:rFonts w:hint="eastAsia" w:ascii="宋体" w:hAnsi="宋体" w:cs="Times New Roman"/>
                <w:bCs/>
                <w:color w:val="000000"/>
                <w:kern w:val="2"/>
                <w:sz w:val="21"/>
                <w:szCs w:val="21"/>
                <w:lang w:val="en-US" w:eastAsia="zh-CN" w:bidi="ar-SA"/>
              </w:rPr>
              <w:t>10</w:t>
            </w:r>
            <w:r>
              <w:rPr>
                <w:rFonts w:hint="eastAsia" w:ascii="宋体" w:hAnsi="宋体" w:cs="Times New Roman"/>
                <w:bCs/>
                <w:color w:val="000000"/>
                <w:kern w:val="2"/>
                <w:sz w:val="21"/>
                <w:szCs w:val="21"/>
                <w:vertAlign w:val="superscript"/>
                <w:lang w:val="en-US" w:eastAsia="zh-CN" w:bidi="ar-SA"/>
              </w:rPr>
              <w:t>3</w:t>
            </w:r>
          </w:p>
        </w:tc>
      </w:tr>
    </w:tbl>
    <w:p>
      <w:pPr>
        <w:pStyle w:val="4"/>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color w:val="000000" w:themeColor="text1"/>
          <w:lang w:eastAsia="zh-CN"/>
          <w14:textFill>
            <w14:solidFill>
              <w14:schemeClr w14:val="tx1"/>
            </w14:solidFill>
          </w14:textFill>
        </w:rPr>
      </w:pPr>
      <w:bookmarkStart w:id="142" w:name="_Toc17106"/>
      <w:bookmarkStart w:id="143" w:name="_Toc48659654"/>
      <w:bookmarkStart w:id="144" w:name="_Toc53502033"/>
      <w:r>
        <w:rPr>
          <w:rFonts w:hint="eastAsia" w:ascii="Times New Roman" w:hAnsi="Times New Roman" w:eastAsia="宋体"/>
          <w:color w:val="auto"/>
          <w:lang w:eastAsia="zh-CN"/>
        </w:rPr>
        <w:t>9.</w:t>
      </w:r>
      <w:r>
        <w:rPr>
          <w:rFonts w:hint="eastAsia" w:ascii="Times New Roman" w:hAnsi="Times New Roman" w:eastAsia="宋体"/>
          <w:color w:val="auto"/>
          <w:lang w:val="en-US" w:eastAsia="zh-CN"/>
        </w:rPr>
        <w:t>6</w:t>
      </w:r>
      <w:r>
        <w:rPr>
          <w:rFonts w:hint="eastAsia" w:ascii="Times New Roman" w:hAnsi="Times New Roman" w:eastAsia="宋体"/>
          <w:b/>
          <w:bCs/>
          <w:color w:val="000000" w:themeColor="text1"/>
          <w:lang w:eastAsia="zh-CN"/>
          <w14:textFill>
            <w14:solidFill>
              <w14:schemeClr w14:val="tx1"/>
            </w14:solidFill>
          </w14:textFill>
        </w:rPr>
        <w:t>总量核定</w:t>
      </w:r>
      <w:bookmarkEnd w:id="142"/>
      <w:bookmarkEnd w:id="143"/>
      <w:bookmarkEnd w:id="144"/>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hint="eastAsia" w:ascii="Times New Roman" w:hAnsi="Times New Roman" w:eastAsia="宋体"/>
        </w:rPr>
        <w:t>本项目总量控制指标为</w:t>
      </w:r>
      <w:r>
        <w:rPr>
          <w:rFonts w:ascii="Times New Roman" w:hAnsi="Times New Roman" w:eastAsia="宋体"/>
        </w:rPr>
        <w:t>：</w:t>
      </w:r>
      <w:r>
        <w:rPr>
          <w:rFonts w:hint="eastAsia" w:ascii="Times New Roman" w:hAnsi="Times New Roman" w:eastAsia="宋体"/>
        </w:rPr>
        <w:t>VOCs排放总量</w:t>
      </w:r>
      <w:r>
        <w:rPr>
          <w:rFonts w:hint="eastAsia" w:ascii="Times New Roman" w:hAnsi="Times New Roman" w:eastAsia="宋体"/>
          <w:kern w:val="1"/>
          <w:szCs w:val="24"/>
        </w:rPr>
        <w:t>0.</w:t>
      </w:r>
      <w:r>
        <w:rPr>
          <w:rFonts w:hint="eastAsia" w:ascii="Times New Roman" w:hAnsi="Times New Roman" w:eastAsia="宋体"/>
          <w:kern w:val="1"/>
          <w:szCs w:val="24"/>
          <w:lang w:val="en-US" w:eastAsia="zh-CN"/>
        </w:rPr>
        <w:t>532</w:t>
      </w:r>
      <w:r>
        <w:rPr>
          <w:rFonts w:hint="eastAsia" w:ascii="Times New Roman" w:hAnsi="Times New Roman" w:eastAsia="宋体"/>
          <w:color w:val="auto"/>
        </w:rPr>
        <w:t>t</w:t>
      </w:r>
      <w:r>
        <w:rPr>
          <w:rFonts w:ascii="Times New Roman" w:hAnsi="Times New Roman" w:eastAsia="宋体"/>
          <w:color w:val="auto"/>
        </w:rPr>
        <w:t>/a</w:t>
      </w:r>
      <w:r>
        <w:rPr>
          <w:rFonts w:ascii="Times New Roman" w:hAnsi="Times New Roman" w:eastAsia="宋体"/>
        </w:rPr>
        <w:t>。</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r>
        <w:rPr>
          <w:rFonts w:hint="eastAsia" w:ascii="Times New Roman" w:hAnsi="Times New Roman" w:eastAsia="宋体"/>
          <w:szCs w:val="24"/>
        </w:rPr>
        <w:t>根据废气污染治理措施</w:t>
      </w:r>
      <w:r>
        <w:rPr>
          <w:rFonts w:ascii="Times New Roman" w:hAnsi="Times New Roman" w:eastAsia="宋体"/>
          <w:szCs w:val="24"/>
        </w:rPr>
        <w:t>工作时间</w:t>
      </w:r>
      <w:r>
        <w:rPr>
          <w:rFonts w:hint="eastAsia" w:ascii="Times New Roman" w:hAnsi="Times New Roman" w:eastAsia="宋体"/>
          <w:szCs w:val="24"/>
          <w:lang w:val="en-US" w:eastAsia="zh-CN"/>
        </w:rPr>
        <w:t>3600</w:t>
      </w:r>
      <w:r>
        <w:rPr>
          <w:rFonts w:hint="eastAsia" w:ascii="Times New Roman" w:hAnsi="Times New Roman" w:eastAsia="宋体"/>
          <w:szCs w:val="24"/>
        </w:rPr>
        <w:t>h/a，VOCs最大排放速率0</w:t>
      </w:r>
      <w:r>
        <w:rPr>
          <w:rFonts w:hint="eastAsia" w:ascii="Times New Roman" w:hAnsi="Times New Roman" w:eastAsia="宋体"/>
          <w:szCs w:val="24"/>
          <w:highlight w:val="none"/>
        </w:rPr>
        <w:t>.0</w:t>
      </w:r>
      <w:r>
        <w:rPr>
          <w:rFonts w:hint="eastAsia"/>
          <w:szCs w:val="24"/>
          <w:highlight w:val="none"/>
          <w:lang w:val="en-US" w:eastAsia="zh-CN"/>
        </w:rPr>
        <w:t>43</w:t>
      </w:r>
      <w:r>
        <w:rPr>
          <w:rFonts w:hint="eastAsia" w:ascii="Times New Roman" w:hAnsi="Times New Roman" w:eastAsia="宋体"/>
          <w:szCs w:val="24"/>
          <w:highlight w:val="none"/>
        </w:rPr>
        <w:t>kg/h</w:t>
      </w:r>
      <w:r>
        <w:rPr>
          <w:rFonts w:ascii="Times New Roman" w:hAnsi="Times New Roman" w:eastAsia="宋体"/>
          <w:szCs w:val="24"/>
        </w:rPr>
        <w:t>计算出：</w:t>
      </w:r>
      <w:r>
        <w:rPr>
          <w:rFonts w:hint="eastAsia" w:ascii="Times New Roman" w:hAnsi="Times New Roman" w:eastAsia="宋体"/>
        </w:rPr>
        <w:t>VOCs排放量=</w:t>
      </w:r>
      <w:r>
        <w:rPr>
          <w:rFonts w:hint="eastAsia" w:ascii="Times New Roman" w:hAnsi="Times New Roman" w:eastAsia="宋体"/>
          <w:szCs w:val="24"/>
        </w:rPr>
        <w:t>最大排放速率</w:t>
      </w:r>
      <w:r>
        <w:rPr>
          <w:rFonts w:ascii="Times New Roman" w:hAnsi="Times New Roman" w:eastAsia="宋体"/>
          <w:szCs w:val="24"/>
        </w:rPr>
        <w:t>×</w:t>
      </w:r>
      <w:r>
        <w:rPr>
          <w:rFonts w:hint="eastAsia" w:ascii="Times New Roman" w:hAnsi="Times New Roman" w:eastAsia="宋体"/>
          <w:szCs w:val="24"/>
        </w:rPr>
        <w:t>年工作时间</w:t>
      </w:r>
      <w:r>
        <w:rPr>
          <w:rFonts w:ascii="Times New Roman" w:hAnsi="Times New Roman" w:eastAsia="宋体"/>
        </w:rPr>
        <w:t>×</w:t>
      </w:r>
      <w:r>
        <w:rPr>
          <w:rFonts w:hint="eastAsia" w:ascii="Times New Roman" w:hAnsi="Times New Roman" w:eastAsia="宋体"/>
        </w:rPr>
        <w:t>10</w:t>
      </w:r>
      <w:r>
        <w:rPr>
          <w:rFonts w:hint="eastAsia" w:ascii="Times New Roman" w:hAnsi="Times New Roman" w:eastAsia="宋体"/>
          <w:vertAlign w:val="superscript"/>
        </w:rPr>
        <w:t>-3</w:t>
      </w:r>
      <w:r>
        <w:rPr>
          <w:rFonts w:hint="eastAsia" w:ascii="Times New Roman" w:hAnsi="Times New Roman" w:eastAsia="宋体"/>
        </w:rPr>
        <w:t>=</w:t>
      </w:r>
      <w:r>
        <w:rPr>
          <w:rFonts w:hint="eastAsia"/>
          <w:lang w:val="en-US" w:eastAsia="zh-CN"/>
        </w:rPr>
        <w:t>0.1548</w:t>
      </w:r>
      <w:r>
        <w:rPr>
          <w:rFonts w:ascii="Times New Roman" w:hAnsi="Times New Roman" w:eastAsia="宋体"/>
          <w:szCs w:val="24"/>
        </w:rPr>
        <w:t>t/a</w:t>
      </w:r>
      <w:r>
        <w:rPr>
          <w:rFonts w:hint="eastAsia" w:ascii="Times New Roman" w:hAnsi="Times New Roman" w:eastAsia="宋体"/>
          <w:szCs w:val="24"/>
        </w:rPr>
        <w:t>&lt;</w:t>
      </w:r>
      <w:r>
        <w:rPr>
          <w:rFonts w:hint="eastAsia" w:ascii="Times New Roman" w:hAnsi="Times New Roman" w:eastAsia="宋体"/>
          <w:kern w:val="1"/>
          <w:szCs w:val="24"/>
        </w:rPr>
        <w:t>0.</w:t>
      </w:r>
      <w:r>
        <w:rPr>
          <w:rFonts w:hint="eastAsia" w:ascii="Times New Roman" w:hAnsi="Times New Roman" w:eastAsia="宋体"/>
          <w:kern w:val="1"/>
          <w:szCs w:val="24"/>
          <w:lang w:val="en-US" w:eastAsia="zh-CN"/>
        </w:rPr>
        <w:t>532</w:t>
      </w:r>
      <w:r>
        <w:rPr>
          <w:rFonts w:hint="eastAsia" w:ascii="Times New Roman" w:hAnsi="Times New Roman" w:eastAsia="宋体"/>
          <w:color w:val="auto"/>
        </w:rPr>
        <w:t>t</w:t>
      </w:r>
      <w:r>
        <w:rPr>
          <w:rFonts w:ascii="Times New Roman" w:hAnsi="Times New Roman" w:eastAsia="宋体"/>
          <w:color w:val="auto"/>
        </w:rPr>
        <w:t>/a</w:t>
      </w:r>
      <w:r>
        <w:rPr>
          <w:rFonts w:hint="eastAsia" w:ascii="Times New Roman" w:hAnsi="Times New Roman" w:eastAsia="宋体"/>
          <w:szCs w:val="24"/>
        </w:rPr>
        <w:t>，污染物排放量</w:t>
      </w:r>
      <w:r>
        <w:rPr>
          <w:rFonts w:ascii="Times New Roman" w:hAnsi="Times New Roman" w:eastAsia="宋体"/>
        </w:rPr>
        <w:t>满足总量控制指标要求。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rPr>
      </w:pPr>
    </w:p>
    <w:p>
      <w:pPr>
        <w:pStyle w:val="4"/>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rPr>
      </w:pPr>
      <w:bookmarkStart w:id="145" w:name="_Toc16693"/>
      <w:r>
        <w:rPr>
          <w:rFonts w:hint="eastAsia" w:ascii="Times New Roman" w:hAnsi="Times New Roman" w:eastAsia="宋体"/>
          <w:color w:val="auto"/>
        </w:rPr>
        <w:t>9.</w:t>
      </w:r>
      <w:r>
        <w:rPr>
          <w:rFonts w:hint="eastAsia" w:ascii="Times New Roman" w:hAnsi="Times New Roman" w:eastAsia="宋体"/>
          <w:color w:val="auto"/>
          <w:lang w:val="en-US" w:eastAsia="zh-CN"/>
        </w:rPr>
        <w:t>6</w:t>
      </w:r>
      <w:r>
        <w:rPr>
          <w:rFonts w:hint="eastAsia" w:ascii="Times New Roman" w:hAnsi="Times New Roman" w:eastAsia="宋体"/>
          <w:color w:val="auto"/>
        </w:rPr>
        <w:t>环评审批意见落实情况</w:t>
      </w:r>
      <w:bookmarkEnd w:id="145"/>
    </w:p>
    <w:p>
      <w:pPr>
        <w:pStyle w:val="63"/>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eastAsia="宋体"/>
          <w:color w:val="auto"/>
        </w:rPr>
      </w:pPr>
      <w:r>
        <w:rPr>
          <w:rFonts w:hint="eastAsia" w:ascii="Times New Roman" w:hAnsi="Times New Roman" w:eastAsia="宋体"/>
          <w:color w:val="auto"/>
        </w:rPr>
        <w:t>项目审批意见落实情况详见表9</w:t>
      </w:r>
      <w:r>
        <w:rPr>
          <w:rFonts w:ascii="Times New Roman" w:hAnsi="Times New Roman" w:eastAsia="宋体"/>
          <w:color w:val="auto"/>
        </w:rPr>
        <w:t>.</w:t>
      </w:r>
      <w:r>
        <w:rPr>
          <w:rFonts w:hint="eastAsia" w:ascii="Times New Roman" w:hAnsi="Times New Roman" w:eastAsia="宋体"/>
          <w:color w:val="auto"/>
          <w:lang w:val="en-US" w:eastAsia="zh-CN"/>
        </w:rPr>
        <w:t>6</w:t>
      </w:r>
      <w:r>
        <w:rPr>
          <w:rFonts w:ascii="Times New Roman" w:hAnsi="Times New Roman" w:eastAsia="宋体"/>
          <w:color w:val="auto"/>
        </w:rPr>
        <w:t>-1</w:t>
      </w:r>
      <w:r>
        <w:rPr>
          <w:rFonts w:hint="eastAsia" w:ascii="Times New Roman" w:hAnsi="Times New Roman" w:eastAsia="宋体"/>
          <w:color w:val="auto"/>
        </w:rPr>
        <w:t>：</w:t>
      </w:r>
    </w:p>
    <w:bookmarkEnd w:id="141"/>
    <w:p>
      <w:pPr>
        <w:pStyle w:val="63"/>
        <w:pageBreakBefore w:val="0"/>
        <w:widowControl w:val="0"/>
        <w:kinsoku/>
        <w:wordWrap/>
        <w:overflowPunct/>
        <w:topLinePunct w:val="0"/>
        <w:autoSpaceDE/>
        <w:autoSpaceDN/>
        <w:bidi w:val="0"/>
        <w:adjustRightInd/>
        <w:snapToGrid/>
        <w:spacing w:line="360" w:lineRule="auto"/>
        <w:ind w:firstLine="422"/>
        <w:jc w:val="center"/>
        <w:textAlignment w:val="auto"/>
        <w:rPr>
          <w:rFonts w:ascii="Times New Roman" w:hAnsi="Times New Roman" w:eastAsia="宋体"/>
          <w:b/>
          <w:color w:val="auto"/>
          <w:sz w:val="21"/>
          <w:szCs w:val="21"/>
        </w:rPr>
      </w:pPr>
      <w:bookmarkStart w:id="146" w:name="_Toc507454901"/>
      <w:bookmarkStart w:id="147" w:name="_Toc495304801"/>
      <w:r>
        <w:rPr>
          <w:rFonts w:hint="eastAsia" w:ascii="Times New Roman" w:hAnsi="Times New Roman" w:eastAsia="宋体"/>
          <w:b/>
          <w:color w:val="auto"/>
          <w:sz w:val="21"/>
          <w:szCs w:val="21"/>
        </w:rPr>
        <w:t>表9</w:t>
      </w:r>
      <w:r>
        <w:rPr>
          <w:rFonts w:ascii="Times New Roman" w:hAnsi="Times New Roman" w:eastAsia="宋体"/>
          <w:b/>
          <w:color w:val="auto"/>
          <w:sz w:val="21"/>
          <w:szCs w:val="21"/>
        </w:rPr>
        <w:t>.</w:t>
      </w:r>
      <w:r>
        <w:rPr>
          <w:rFonts w:hint="eastAsia" w:ascii="Times New Roman" w:hAnsi="Times New Roman" w:eastAsia="宋体"/>
          <w:b/>
          <w:color w:val="auto"/>
          <w:sz w:val="21"/>
          <w:szCs w:val="21"/>
          <w:lang w:val="en-US" w:eastAsia="zh-CN"/>
        </w:rPr>
        <w:t>6</w:t>
      </w:r>
      <w:r>
        <w:rPr>
          <w:rFonts w:ascii="Times New Roman" w:hAnsi="Times New Roman" w:eastAsia="宋体"/>
          <w:b/>
          <w:color w:val="auto"/>
          <w:sz w:val="21"/>
          <w:szCs w:val="21"/>
        </w:rPr>
        <w:t>-1</w:t>
      </w:r>
      <w:r>
        <w:rPr>
          <w:rFonts w:hint="eastAsia" w:ascii="Times New Roman" w:hAnsi="Times New Roman" w:eastAsia="宋体"/>
          <w:b/>
          <w:color w:val="auto"/>
          <w:sz w:val="21"/>
          <w:szCs w:val="21"/>
          <w:lang w:val="en-US" w:eastAsia="zh-CN"/>
        </w:rPr>
        <w:t xml:space="preserve">  </w:t>
      </w:r>
      <w:r>
        <w:rPr>
          <w:rFonts w:hint="eastAsia" w:ascii="Times New Roman" w:hAnsi="Times New Roman" w:eastAsia="宋体"/>
          <w:b/>
          <w:color w:val="auto"/>
          <w:sz w:val="21"/>
          <w:szCs w:val="21"/>
        </w:rPr>
        <w:t>审批意见落实情况表</w:t>
      </w:r>
    </w:p>
    <w:tbl>
      <w:tblPr>
        <w:tblStyle w:val="29"/>
        <w:tblW w:w="4995"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525"/>
        <w:gridCol w:w="486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tblHeader/>
        </w:trPr>
        <w:tc>
          <w:tcPr>
            <w:tcW w:w="2409"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审批意见要求</w:t>
            </w:r>
          </w:p>
        </w:tc>
        <w:tc>
          <w:tcPr>
            <w:tcW w:w="2590" w:type="pct"/>
            <w:vAlign w:val="center"/>
          </w:tcPr>
          <w:p>
            <w:pPr>
              <w:jc w:val="center"/>
              <w:rPr>
                <w:rFonts w:ascii="Times New Roman" w:hAnsi="Times New Roman" w:eastAsia="宋体" w:cs="Times New Roman"/>
                <w:b/>
                <w:color w:val="auto"/>
                <w:szCs w:val="21"/>
              </w:rPr>
            </w:pPr>
            <w:r>
              <w:rPr>
                <w:rFonts w:ascii="Times New Roman" w:hAnsi="Times New Roman" w:eastAsia="宋体" w:cs="Times New Roman"/>
                <w:b/>
                <w:color w:val="000000" w:themeColor="text1"/>
                <w:szCs w:val="21"/>
                <w14:textFill>
                  <w14:solidFill>
                    <w14:schemeClr w14:val="tx1"/>
                  </w14:solidFill>
                </w14:textFill>
              </w:rPr>
              <w:t>落实情况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291"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该项目位于庄墓镇合淮路东侧，系租赁合肥安玻节能玻璃科技有限公司2#厂房进行生产，建筑面积5912平方米，建成投产后，可年产8000吨再生塑料颗粒。项目总投资2000万元，其中环保投资70万元。</w:t>
            </w:r>
          </w:p>
        </w:tc>
        <w:tc>
          <w:tcPr>
            <w:tcW w:w="2590"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该项目位于庄墓镇合淮路东侧，系租赁合肥安玻节能玻璃科技有限公司</w:t>
            </w:r>
            <w:r>
              <w:rPr>
                <w:rFonts w:hint="eastAsia"/>
                <w:color w:val="auto"/>
                <w:kern w:val="0"/>
                <w:sz w:val="21"/>
                <w:szCs w:val="21"/>
                <w:lang w:val="en-US" w:eastAsia="zh-CN"/>
              </w:rPr>
              <w:t>3</w:t>
            </w:r>
            <w:r>
              <w:rPr>
                <w:rFonts w:hint="eastAsia" w:ascii="Times New Roman" w:hAnsi="Times New Roman" w:eastAsia="宋体"/>
                <w:color w:val="auto"/>
                <w:kern w:val="0"/>
                <w:sz w:val="21"/>
                <w:szCs w:val="21"/>
                <w:lang w:val="zh-CN"/>
              </w:rPr>
              <w:t>#厂房进行生产，建筑面积</w:t>
            </w:r>
            <w:r>
              <w:rPr>
                <w:rFonts w:hint="eastAsia"/>
                <w:color w:val="auto"/>
                <w:kern w:val="0"/>
                <w:sz w:val="21"/>
                <w:szCs w:val="21"/>
                <w:lang w:val="en-US" w:eastAsia="zh-CN"/>
              </w:rPr>
              <w:t>2800</w:t>
            </w:r>
            <w:r>
              <w:rPr>
                <w:rFonts w:hint="eastAsia" w:ascii="Times New Roman" w:hAnsi="Times New Roman" w:eastAsia="宋体"/>
                <w:color w:val="auto"/>
                <w:kern w:val="0"/>
                <w:sz w:val="21"/>
                <w:szCs w:val="21"/>
                <w:lang w:val="zh-CN"/>
              </w:rPr>
              <w:t>平方米，建成投产后，（本次验收</w:t>
            </w:r>
            <w:r>
              <w:rPr>
                <w:rFonts w:hint="eastAsia"/>
                <w:color w:val="auto"/>
                <w:kern w:val="0"/>
                <w:sz w:val="21"/>
                <w:szCs w:val="21"/>
                <w:lang w:val="en-US" w:eastAsia="zh-CN"/>
              </w:rPr>
              <w:t>1</w:t>
            </w:r>
            <w:r>
              <w:rPr>
                <w:rFonts w:hint="eastAsia" w:ascii="Times New Roman" w:hAnsi="Times New Roman" w:eastAsia="宋体"/>
                <w:color w:val="auto"/>
                <w:kern w:val="0"/>
                <w:sz w:val="21"/>
                <w:szCs w:val="21"/>
                <w:lang w:val="en-US" w:eastAsia="zh-CN"/>
              </w:rPr>
              <w:t>条生产线）</w:t>
            </w:r>
            <w:r>
              <w:rPr>
                <w:rFonts w:hint="eastAsia" w:ascii="Times New Roman" w:hAnsi="Times New Roman" w:eastAsia="宋体"/>
                <w:color w:val="auto"/>
                <w:kern w:val="0"/>
                <w:sz w:val="21"/>
                <w:szCs w:val="21"/>
                <w:lang w:val="zh-CN"/>
              </w:rPr>
              <w:t>可年产</w:t>
            </w:r>
            <w:r>
              <w:rPr>
                <w:rFonts w:hint="eastAsia"/>
                <w:color w:val="auto"/>
                <w:kern w:val="0"/>
                <w:sz w:val="21"/>
                <w:szCs w:val="21"/>
                <w:lang w:val="en-US" w:eastAsia="zh-CN"/>
              </w:rPr>
              <w:t>1300</w:t>
            </w:r>
            <w:r>
              <w:rPr>
                <w:rFonts w:hint="eastAsia" w:ascii="Times New Roman" w:hAnsi="Times New Roman" w:eastAsia="宋体"/>
                <w:color w:val="auto"/>
                <w:kern w:val="0"/>
                <w:sz w:val="21"/>
                <w:szCs w:val="21"/>
                <w:lang w:val="zh-CN"/>
              </w:rPr>
              <w:t>吨再生塑料颗粒。项目总投资</w:t>
            </w:r>
            <w:r>
              <w:rPr>
                <w:rFonts w:hint="eastAsia"/>
                <w:color w:val="auto"/>
                <w:kern w:val="0"/>
                <w:sz w:val="21"/>
                <w:szCs w:val="21"/>
                <w:lang w:val="en-US" w:eastAsia="zh-CN"/>
              </w:rPr>
              <w:t xml:space="preserve">500 </w:t>
            </w:r>
            <w:r>
              <w:rPr>
                <w:rFonts w:hint="eastAsia" w:ascii="Times New Roman" w:hAnsi="Times New Roman" w:eastAsia="宋体"/>
                <w:color w:val="auto"/>
                <w:kern w:val="0"/>
                <w:sz w:val="21"/>
                <w:szCs w:val="21"/>
                <w:lang w:val="zh-CN"/>
              </w:rPr>
              <w:t>万元，其中环保投资</w:t>
            </w:r>
            <w:r>
              <w:rPr>
                <w:rFonts w:hint="eastAsia"/>
                <w:color w:val="auto"/>
                <w:kern w:val="0"/>
                <w:sz w:val="21"/>
                <w:szCs w:val="21"/>
                <w:lang w:val="en-US" w:eastAsia="zh-CN"/>
              </w:rPr>
              <w:t>5</w:t>
            </w:r>
            <w:r>
              <w:rPr>
                <w:rFonts w:hint="eastAsia" w:ascii="Times New Roman" w:hAnsi="Times New Roman" w:eastAsia="宋体"/>
                <w:color w:val="auto"/>
                <w:kern w:val="0"/>
                <w:sz w:val="21"/>
                <w:szCs w:val="21"/>
                <w:lang w:val="zh-CN"/>
              </w:rPr>
              <w:t>0万元。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45"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营运期</w:t>
            </w:r>
            <w:r>
              <w:rPr>
                <w:rFonts w:hint="eastAsia"/>
                <w:color w:val="auto"/>
                <w:kern w:val="0"/>
                <w:sz w:val="21"/>
                <w:szCs w:val="21"/>
                <w:lang w:val="en-US" w:eastAsia="zh-CN"/>
              </w:rPr>
              <w:t>加</w:t>
            </w:r>
            <w:r>
              <w:rPr>
                <w:rFonts w:hint="eastAsia" w:ascii="Times New Roman" w:hAnsi="Times New Roman" w:eastAsia="宋体"/>
                <w:color w:val="auto"/>
                <w:kern w:val="0"/>
                <w:sz w:val="21"/>
                <w:szCs w:val="21"/>
                <w:lang w:val="zh-CN"/>
              </w:rPr>
              <w:t>强</w:t>
            </w:r>
            <w:r>
              <w:rPr>
                <w:rFonts w:hint="eastAsia"/>
                <w:color w:val="auto"/>
                <w:kern w:val="0"/>
                <w:sz w:val="21"/>
                <w:szCs w:val="21"/>
                <w:lang w:val="en-US" w:eastAsia="zh-CN"/>
              </w:rPr>
              <w:t>污水</w:t>
            </w:r>
            <w:r>
              <w:rPr>
                <w:rFonts w:hint="eastAsia" w:ascii="Times New Roman" w:hAnsi="Times New Roman" w:eastAsia="宋体"/>
                <w:color w:val="auto"/>
                <w:kern w:val="0"/>
                <w:sz w:val="21"/>
                <w:szCs w:val="21"/>
                <w:lang w:val="zh-CN"/>
              </w:rPr>
              <w:t>管理。项目排水实行雨污分流。项目无生产废水排放，生活污水和保洁废水经厂区一体化污水处理设施处理达标后，用于厂区绿化，不外排。</w:t>
            </w:r>
          </w:p>
        </w:tc>
        <w:tc>
          <w:tcPr>
            <w:tcW w:w="2590"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营运期项目排水实行雨污分流。项目无生产废水排放，生活污水和保洁废水经厂区一体化污水处理设施处理达标后，用于厂区绿化，不外排。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262"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产生的废气主要为废旧塑料熔融挤出过程产生的有机废气。生产区密闭，挤出废气经集气罩收集后，经除油装置预处理，再经“UV光解+活性炭吸附”装置处理后，尾气通过不低于15m高排气筒排放；有机废气排放执行《合成树脂工业污染物排放标准》（GB31572-2015）表5特别排放限值及表9中厂界大气污染物浓度限值。规范废气排放口设置并做好采样平台（口）建设。</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项目产生的废气主要为废旧塑料熔融挤出过程产生的有机废气。生产区密闭，挤出废气经集气罩收集后，经除油装置预处理，再经“高压静电+活性炭吸附”装置处理后，尾气通过不低于15m高排气筒排放。验收监测表明：废气处理装置出口非甲烷总烃排放浓度符合《合成树脂工业污染物排放标准》（GB31572-2015）表5中“大气污染物特别排放限值要求；厂界非甲烷总烃无组织排放浓度符合《合成树脂工业污染物排放标准》（GB31572-2015）中表9企业边界大气污染物浓度限值要求；厂区内非甲烷总烃任意一次浓度值符合《挥发性有机物无组织排放控制标准》（GB37822-2019）中表A.1规定的限值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835"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项目设置的环境防护距离为50米，建设单位应及时告知当地政府或主管部门，在此范围内不得建设住宅、医院及学校等环境敏感设施。</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根据现场踏勘可知，项目环境防护距离50米内无住宅、医院及学校等环境敏感设施。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491"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项目噪声主要是设备运转产生的机械噪声，采用隔音、合理布局等措施后，确保噪声排放达到《工业企业厂界环境噪声排放标准）（GB12348-2008）中2类标准要求。</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eastAsia="zh-CN"/>
              </w:rPr>
              <w:t>根据验收监测结果可知：</w:t>
            </w:r>
            <w:r>
              <w:rPr>
                <w:rFonts w:hint="eastAsia" w:ascii="Times New Roman" w:hAnsi="Times New Roman" w:eastAsia="宋体" w:cs="Times New Roman"/>
                <w:color w:val="auto"/>
                <w:kern w:val="0"/>
                <w:szCs w:val="21"/>
              </w:rPr>
              <w:t>厂界昼间</w:t>
            </w:r>
            <w:r>
              <w:rPr>
                <w:rFonts w:hint="eastAsia" w:ascii="Times New Roman" w:hAnsi="Times New Roman" w:eastAsia="宋体" w:cs="Times New Roman"/>
                <w:color w:val="auto"/>
                <w:kern w:val="0"/>
                <w:szCs w:val="21"/>
                <w:lang w:eastAsia="zh-CN"/>
              </w:rPr>
              <w:t>、夜间</w:t>
            </w:r>
            <w:r>
              <w:rPr>
                <w:rFonts w:hint="eastAsia" w:ascii="Times New Roman" w:hAnsi="Times New Roman" w:eastAsia="宋体" w:cs="Times New Roman"/>
                <w:color w:val="auto"/>
                <w:kern w:val="0"/>
                <w:szCs w:val="21"/>
              </w:rPr>
              <w:t>噪声监测结果</w:t>
            </w:r>
            <w:r>
              <w:rPr>
                <w:rFonts w:hint="eastAsia" w:ascii="Times New Roman" w:hAnsi="Times New Roman" w:eastAsia="宋体" w:cs="Times New Roman"/>
                <w:color w:val="auto"/>
                <w:kern w:val="0"/>
                <w:szCs w:val="21"/>
                <w:lang w:eastAsia="zh-CN"/>
              </w:rPr>
              <w:t>均</w:t>
            </w:r>
            <w:r>
              <w:rPr>
                <w:rFonts w:hint="eastAsia" w:ascii="Times New Roman" w:hAnsi="Times New Roman" w:eastAsia="宋体" w:cs="Times New Roman"/>
                <w:color w:val="auto"/>
                <w:kern w:val="0"/>
                <w:szCs w:val="21"/>
              </w:rPr>
              <w:t>符合《工业企业厂界环境噪声排放标准》（GB12348- 2008）中2类标准。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117" w:hRule="atLeast"/>
        </w:trPr>
        <w:tc>
          <w:tcPr>
            <w:tcW w:w="2409" w:type="pct"/>
            <w:vAlign w:val="center"/>
          </w:tcPr>
          <w:p>
            <w:pPr>
              <w:pStyle w:val="104"/>
              <w:spacing w:line="240" w:lineRule="auto"/>
              <w:ind w:firstLine="0" w:firstLineChars="0"/>
              <w:jc w:val="center"/>
              <w:rPr>
                <w:rFonts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加强固体废弃物的环境管理。生活垃圾由环卫部门统一清运处理；过滤网（含滤渣）、废活性炭、废UV灯管等危险固废，规范收集、存储后，委托有资质单位处置。</w:t>
            </w:r>
          </w:p>
        </w:tc>
        <w:tc>
          <w:tcPr>
            <w:tcW w:w="2590" w:type="pct"/>
            <w:vAlign w:val="center"/>
          </w:tcPr>
          <w:p>
            <w:pPr>
              <w:jc w:val="center"/>
              <w:rPr>
                <w:rFonts w:ascii="Times New Roman" w:hAnsi="Times New Roman" w:eastAsia="宋体" w:cs="Times New Roman"/>
                <w:color w:val="auto"/>
                <w:kern w:val="0"/>
                <w:szCs w:val="21"/>
              </w:rPr>
            </w:pPr>
            <w:r>
              <w:rPr>
                <w:rFonts w:hint="eastAsia" w:ascii="Times New Roman" w:hAnsi="Times New Roman" w:eastAsia="宋体"/>
                <w:color w:val="auto"/>
                <w:kern w:val="0"/>
                <w:sz w:val="21"/>
                <w:szCs w:val="21"/>
                <w:lang w:val="zh-CN"/>
              </w:rPr>
              <w:t>生活垃圾由环卫部门统一清运处理；过滤网（含滤渣）、废活性炭等危险固废，规范收集、存储后，委托有资质单位处置。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532" w:hRule="atLeast"/>
        </w:trPr>
        <w:tc>
          <w:tcPr>
            <w:tcW w:w="2409" w:type="pct"/>
            <w:vAlign w:val="center"/>
          </w:tcPr>
          <w:p>
            <w:pPr>
              <w:pStyle w:val="104"/>
              <w:spacing w:line="240" w:lineRule="auto"/>
              <w:ind w:firstLine="0" w:firstLineChars="0"/>
              <w:jc w:val="center"/>
              <w:rPr>
                <w:rFonts w:hint="eastAsia"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加强污染治理措施设施运行管理，安装在线视频监控及挥发性有机污染物（VOC</w:t>
            </w:r>
            <w:r>
              <w:rPr>
                <w:rFonts w:hint="eastAsia" w:ascii="Times New Roman" w:hAnsi="Times New Roman" w:eastAsia="宋体"/>
                <w:color w:val="auto"/>
                <w:kern w:val="0"/>
                <w:sz w:val="21"/>
                <w:szCs w:val="21"/>
                <w:vertAlign w:val="subscript"/>
                <w:lang w:val="zh-CN"/>
              </w:rPr>
              <w:t>S</w:t>
            </w:r>
            <w:r>
              <w:rPr>
                <w:rFonts w:hint="eastAsia" w:ascii="Times New Roman" w:hAnsi="Times New Roman" w:eastAsia="宋体"/>
                <w:color w:val="auto"/>
                <w:kern w:val="0"/>
                <w:sz w:val="21"/>
                <w:szCs w:val="21"/>
                <w:lang w:val="zh-CN"/>
              </w:rPr>
              <w:t>）污染源在线监测设备，实时记录污染设施运转状况及污染物排放情况。</w:t>
            </w:r>
          </w:p>
        </w:tc>
        <w:tc>
          <w:tcPr>
            <w:tcW w:w="2590" w:type="pct"/>
            <w:vAlign w:val="center"/>
          </w:tcPr>
          <w:p>
            <w:pPr>
              <w:jc w:val="center"/>
              <w:rPr>
                <w:rFonts w:hint="eastAsia" w:ascii="Times New Roman" w:hAnsi="Times New Roman" w:eastAsia="宋体"/>
                <w:color w:val="auto"/>
                <w:kern w:val="0"/>
                <w:sz w:val="21"/>
                <w:szCs w:val="21"/>
                <w:lang w:val="zh-CN"/>
              </w:rPr>
            </w:pPr>
            <w:r>
              <w:rPr>
                <w:rFonts w:hint="eastAsia" w:ascii="Times New Roman" w:hAnsi="Times New Roman" w:eastAsia="宋体"/>
                <w:color w:val="auto"/>
                <w:kern w:val="0"/>
                <w:sz w:val="21"/>
                <w:szCs w:val="21"/>
                <w:lang w:val="zh-CN"/>
              </w:rPr>
              <w:t>加强污染治理措施设施运行管理，已安装在线视频监控设施，实时记录污染设施运转状况及污染物排放情况。</w:t>
            </w:r>
          </w:p>
        </w:tc>
      </w:tr>
    </w:tbl>
    <w:p>
      <w:pPr>
        <w:pStyle w:val="3"/>
        <w:spacing w:before="156" w:after="156"/>
        <w:jc w:val="center"/>
        <w:rPr>
          <w:rFonts w:ascii="Times New Roman" w:hAnsi="Times New Roman" w:eastAsia="宋体"/>
          <w:color w:val="auto"/>
        </w:rPr>
        <w:sectPr>
          <w:headerReference r:id="rId7"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pageBreakBefore w:val="0"/>
        <w:widowControl w:val="0"/>
        <w:kinsoku/>
        <w:wordWrap/>
        <w:overflowPunct/>
        <w:topLinePunct w:val="0"/>
        <w:autoSpaceDE/>
        <w:autoSpaceDN/>
        <w:bidi w:val="0"/>
        <w:adjustRightInd/>
        <w:snapToGrid/>
        <w:spacing w:beforeLines="0" w:afterLines="0" w:line="360" w:lineRule="auto"/>
        <w:jc w:val="center"/>
        <w:textAlignment w:val="auto"/>
        <w:rPr>
          <w:rFonts w:ascii="Times New Roman" w:hAnsi="Times New Roman" w:eastAsia="宋体" w:cs="Times New Roman"/>
          <w:color w:val="auto"/>
        </w:rPr>
      </w:pPr>
      <w:bookmarkStart w:id="148" w:name="_Toc6072"/>
      <w:r>
        <w:rPr>
          <w:rFonts w:ascii="Times New Roman" w:hAnsi="Times New Roman" w:eastAsia="宋体"/>
          <w:color w:val="auto"/>
        </w:rPr>
        <w:t>十、</w:t>
      </w:r>
      <w:bookmarkEnd w:id="146"/>
      <w:bookmarkEnd w:id="147"/>
      <w:bookmarkStart w:id="149" w:name="_Toc507454906"/>
      <w:r>
        <w:rPr>
          <w:rFonts w:ascii="Times New Roman" w:hAnsi="Times New Roman" w:eastAsia="宋体" w:cs="Times New Roman"/>
          <w:color w:val="auto"/>
        </w:rPr>
        <w:t>验收监测结论</w:t>
      </w:r>
      <w:bookmarkEnd w:id="148"/>
      <w:bookmarkEnd w:id="149"/>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lang w:eastAsia="zh-CN"/>
        </w:rPr>
        <w:t>安徽尚德谱检测技术有限责任公司</w:t>
      </w:r>
      <w:r>
        <w:rPr>
          <w:rFonts w:ascii="Times New Roman" w:hAnsi="Times New Roman" w:eastAsia="宋体" w:cs="Times New Roman"/>
          <w:color w:val="auto"/>
          <w:sz w:val="24"/>
          <w:szCs w:val="24"/>
        </w:rPr>
        <w:t>于</w:t>
      </w:r>
      <w:r>
        <w:rPr>
          <w:rFonts w:ascii="Times New Roman" w:hAnsi="Times New Roman" w:eastAsia="宋体" w:cs="Times New Roman"/>
          <w:color w:val="auto"/>
          <w:spacing w:val="-6"/>
          <w:sz w:val="24"/>
          <w:szCs w:val="24"/>
          <w:highlight w:val="none"/>
        </w:rPr>
        <w:t>20</w:t>
      </w:r>
      <w:r>
        <w:rPr>
          <w:rFonts w:hint="eastAsia" w:ascii="Times New Roman" w:hAnsi="Times New Roman" w:eastAsia="宋体" w:cs="Times New Roman"/>
          <w:color w:val="auto"/>
          <w:spacing w:val="-6"/>
          <w:sz w:val="24"/>
          <w:szCs w:val="24"/>
          <w:highlight w:val="none"/>
        </w:rPr>
        <w:t>2</w:t>
      </w:r>
      <w:r>
        <w:rPr>
          <w:rFonts w:hint="eastAsia" w:ascii="Times New Roman" w:hAnsi="Times New Roman" w:eastAsia="宋体" w:cs="Times New Roman"/>
          <w:color w:val="auto"/>
          <w:spacing w:val="-6"/>
          <w:sz w:val="24"/>
          <w:szCs w:val="24"/>
          <w:highlight w:val="none"/>
          <w:lang w:val="en-US" w:eastAsia="zh-CN"/>
        </w:rPr>
        <w:t>1</w:t>
      </w:r>
      <w:r>
        <w:rPr>
          <w:rFonts w:ascii="Times New Roman" w:hAnsi="Times New Roman" w:eastAsia="宋体" w:cs="Times New Roman"/>
          <w:color w:val="auto"/>
          <w:spacing w:val="-6"/>
          <w:sz w:val="24"/>
          <w:szCs w:val="24"/>
          <w:highlight w:val="none"/>
        </w:rPr>
        <w:t>年</w:t>
      </w:r>
      <w:r>
        <w:rPr>
          <w:rFonts w:hint="eastAsia" w:ascii="Times New Roman" w:hAnsi="Times New Roman" w:eastAsia="宋体" w:cs="Times New Roman"/>
          <w:color w:val="auto"/>
          <w:spacing w:val="-6"/>
          <w:sz w:val="24"/>
          <w:szCs w:val="24"/>
          <w:highlight w:val="none"/>
          <w:lang w:val="en-US" w:eastAsia="zh-CN"/>
        </w:rPr>
        <w:t>11</w:t>
      </w:r>
      <w:r>
        <w:rPr>
          <w:rFonts w:ascii="Times New Roman" w:hAnsi="Times New Roman" w:eastAsia="宋体" w:cs="Times New Roman"/>
          <w:color w:val="auto"/>
          <w:spacing w:val="-6"/>
          <w:sz w:val="24"/>
          <w:szCs w:val="24"/>
          <w:highlight w:val="none"/>
        </w:rPr>
        <w:t>月</w:t>
      </w:r>
      <w:r>
        <w:rPr>
          <w:rFonts w:hint="eastAsia" w:ascii="Times New Roman" w:hAnsi="Times New Roman" w:eastAsia="宋体" w:cs="Times New Roman"/>
          <w:color w:val="auto"/>
          <w:spacing w:val="-6"/>
          <w:sz w:val="24"/>
          <w:szCs w:val="24"/>
          <w:highlight w:val="none"/>
          <w:lang w:val="en-US" w:eastAsia="zh-CN"/>
        </w:rPr>
        <w:t>10</w:t>
      </w:r>
      <w:r>
        <w:rPr>
          <w:rFonts w:ascii="Times New Roman" w:hAnsi="Times New Roman" w:eastAsia="宋体" w:cs="Times New Roman"/>
          <w:color w:val="auto"/>
          <w:spacing w:val="-6"/>
          <w:sz w:val="24"/>
          <w:szCs w:val="24"/>
          <w:highlight w:val="none"/>
        </w:rPr>
        <w:t>日至</w:t>
      </w:r>
      <w:r>
        <w:rPr>
          <w:rFonts w:hint="eastAsia" w:ascii="Times New Roman" w:hAnsi="Times New Roman" w:eastAsia="宋体" w:cs="Times New Roman"/>
          <w:color w:val="auto"/>
          <w:spacing w:val="-6"/>
          <w:sz w:val="24"/>
          <w:szCs w:val="24"/>
          <w:highlight w:val="none"/>
          <w:lang w:val="en-US" w:eastAsia="zh-CN"/>
        </w:rPr>
        <w:t>11</w:t>
      </w:r>
      <w:r>
        <w:rPr>
          <w:rFonts w:ascii="Times New Roman" w:hAnsi="Times New Roman" w:eastAsia="宋体" w:cs="Times New Roman"/>
          <w:color w:val="auto"/>
          <w:spacing w:val="-6"/>
          <w:sz w:val="24"/>
          <w:szCs w:val="24"/>
          <w:highlight w:val="none"/>
        </w:rPr>
        <w:t>月</w:t>
      </w:r>
      <w:r>
        <w:rPr>
          <w:rFonts w:hint="eastAsia" w:ascii="Times New Roman" w:hAnsi="Times New Roman" w:eastAsia="宋体" w:cs="Times New Roman"/>
          <w:color w:val="auto"/>
          <w:spacing w:val="-6"/>
          <w:sz w:val="24"/>
          <w:szCs w:val="24"/>
          <w:highlight w:val="none"/>
          <w:lang w:val="en-US" w:eastAsia="zh-CN"/>
        </w:rPr>
        <w:t>11</w:t>
      </w:r>
      <w:r>
        <w:rPr>
          <w:rFonts w:ascii="Times New Roman" w:hAnsi="Times New Roman" w:eastAsia="宋体" w:cs="Times New Roman"/>
          <w:color w:val="auto"/>
          <w:spacing w:val="-6"/>
          <w:sz w:val="24"/>
          <w:szCs w:val="24"/>
          <w:highlight w:val="none"/>
        </w:rPr>
        <w:t>日</w:t>
      </w:r>
      <w:r>
        <w:rPr>
          <w:rFonts w:ascii="Times New Roman" w:hAnsi="Times New Roman" w:eastAsia="宋体" w:cs="Times New Roman"/>
          <w:color w:val="auto"/>
          <w:sz w:val="24"/>
          <w:szCs w:val="24"/>
          <w:highlight w:val="none"/>
        </w:rPr>
        <w:t>对</w:t>
      </w:r>
      <w:r>
        <w:rPr>
          <w:rFonts w:hint="eastAsia" w:ascii="Times New Roman" w:hAnsi="Times New Roman" w:eastAsia="宋体" w:cs="Times New Roman"/>
          <w:color w:val="auto"/>
          <w:sz w:val="24"/>
          <w:szCs w:val="24"/>
          <w:highlight w:val="none"/>
        </w:rPr>
        <w:t>本项目</w:t>
      </w:r>
      <w:r>
        <w:rPr>
          <w:rFonts w:ascii="Times New Roman" w:hAnsi="Times New Roman" w:eastAsia="宋体" w:cs="Times New Roman"/>
          <w:color w:val="auto"/>
          <w:sz w:val="24"/>
          <w:szCs w:val="24"/>
          <w:highlight w:val="none"/>
        </w:rPr>
        <w:t>进行了验收监测，根据验收监测结果，得出结论如下：</w:t>
      </w:r>
    </w:p>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rPr>
      </w:pPr>
      <w:r>
        <w:rPr>
          <w:rFonts w:hint="eastAsia" w:ascii="Times New Roman" w:hAnsi="Times New Roman" w:eastAsia="宋体"/>
          <w:color w:val="auto"/>
          <w:kern w:val="0"/>
          <w:lang w:val="zh-CN"/>
        </w:rPr>
        <w:t>1、</w:t>
      </w:r>
      <w:r>
        <w:rPr>
          <w:rFonts w:hint="eastAsia" w:ascii="Times New Roman" w:hAnsi="Times New Roman" w:eastAsia="宋体"/>
          <w:color w:val="auto"/>
        </w:rPr>
        <w:t>验收监测期间</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w:t>
      </w:r>
      <w:r>
        <w:rPr>
          <w:rFonts w:hint="eastAsia" w:ascii="Times New Roman" w:hAnsi="Times New Roman" w:eastAsia="宋体"/>
        </w:rPr>
        <w:t>装置出口</w:t>
      </w:r>
      <w:r>
        <w:rPr>
          <w:rFonts w:hint="eastAsia" w:ascii="Times New Roman" w:hAnsi="Times New Roman" w:eastAsia="宋体"/>
          <w:lang w:eastAsia="zh-CN"/>
        </w:rPr>
        <w:t>非甲烷总烃</w:t>
      </w:r>
      <w:r>
        <w:rPr>
          <w:rFonts w:hint="eastAsia" w:ascii="Times New Roman" w:hAnsi="Times New Roman" w:eastAsia="宋体"/>
        </w:rPr>
        <w:t>最大排放浓度为</w:t>
      </w:r>
      <w:r>
        <w:rPr>
          <w:rFonts w:hint="eastAsia"/>
          <w:lang w:val="en-US" w:eastAsia="zh-CN"/>
        </w:rPr>
        <w:t>4.53</w:t>
      </w:r>
      <w:r>
        <w:rPr>
          <w:rFonts w:ascii="Times New Roman" w:hAnsi="Times New Roman" w:eastAsia="宋体"/>
        </w:rPr>
        <w:t>mg/m</w:t>
      </w:r>
      <w:r>
        <w:rPr>
          <w:rFonts w:ascii="Times New Roman" w:hAnsi="Times New Roman" w:eastAsia="宋体"/>
          <w:vertAlign w:val="superscript"/>
        </w:rPr>
        <w:t>3</w:t>
      </w:r>
      <w:r>
        <w:rPr>
          <w:rFonts w:hint="eastAsia" w:ascii="Times New Roman" w:hAnsi="Times New Roman" w:eastAsia="宋体"/>
        </w:rPr>
        <w:t>，符合</w:t>
      </w:r>
      <w:r>
        <w:rPr>
          <w:rFonts w:hint="default" w:ascii="Times New Roman" w:hAnsi="Times New Roman" w:eastAsia="宋体" w:cs="Times New Roman"/>
          <w:kern w:val="0"/>
          <w:sz w:val="24"/>
        </w:rPr>
        <w:t>《合成树脂工业污染物排放标准》（GB31572-2015）表5中“大气污染物特别排放限值</w:t>
      </w:r>
      <w:r>
        <w:rPr>
          <w:rFonts w:hint="eastAsia" w:ascii="Times New Roman" w:hAnsi="Times New Roman" w:eastAsia="宋体"/>
          <w:szCs w:val="24"/>
        </w:rPr>
        <w:t>要求</w:t>
      </w:r>
      <w:r>
        <w:rPr>
          <w:rFonts w:hint="eastAsia" w:ascii="Times New Roman" w:hAnsi="Times New Roman" w:eastAsia="宋体"/>
          <w:szCs w:val="24"/>
          <w:lang w:eastAsia="zh-CN"/>
        </w:rPr>
        <w:t>；</w:t>
      </w:r>
      <w:r>
        <w:rPr>
          <w:rFonts w:ascii="Times New Roman" w:hAnsi="Times New Roman" w:eastAsia="宋体"/>
          <w:szCs w:val="21"/>
        </w:rPr>
        <w:t>“</w:t>
      </w:r>
      <w:r>
        <w:rPr>
          <w:rFonts w:hint="eastAsia" w:ascii="Times New Roman" w:hAnsi="Times New Roman" w:eastAsia="宋体"/>
          <w:szCs w:val="21"/>
          <w:lang w:eastAsia="zh-CN"/>
        </w:rPr>
        <w:t>高压静电</w:t>
      </w:r>
      <w:r>
        <w:rPr>
          <w:rFonts w:hint="eastAsia" w:ascii="Times New Roman" w:hAnsi="Times New Roman" w:eastAsia="宋体"/>
          <w:szCs w:val="21"/>
          <w:lang w:val="en-US" w:eastAsia="zh-CN"/>
        </w:rPr>
        <w:t>+活性炭吸附</w:t>
      </w:r>
      <w:r>
        <w:rPr>
          <w:rFonts w:ascii="Times New Roman" w:hAnsi="Times New Roman" w:eastAsia="宋体"/>
          <w:szCs w:val="21"/>
        </w:rPr>
        <w:t>”装置</w:t>
      </w:r>
      <w:r>
        <w:rPr>
          <w:rFonts w:hint="eastAsia" w:ascii="Times New Roman" w:hAnsi="Times New Roman" w:eastAsia="宋体"/>
        </w:rPr>
        <w:t>对VOCs</w:t>
      </w:r>
      <w:r>
        <w:rPr>
          <w:rFonts w:hint="eastAsia"/>
          <w:lang w:val="en-US" w:eastAsia="zh-CN"/>
        </w:rPr>
        <w:t xml:space="preserve">                                                                                                                                                                                                                                                                                                                                                                                                                                                                                                                                                                                                                                                                                                                                                                            </w:t>
      </w:r>
      <w:r>
        <w:rPr>
          <w:rFonts w:hint="eastAsia" w:ascii="Times New Roman" w:hAnsi="Times New Roman" w:eastAsia="宋体"/>
        </w:rPr>
        <w:t>处理效率为</w:t>
      </w:r>
      <w:r>
        <w:rPr>
          <w:rFonts w:hint="eastAsia" w:ascii="Times New Roman" w:hAnsi="Times New Roman" w:eastAsia="宋体"/>
          <w:highlight w:val="none"/>
          <w:lang w:val="en-US" w:eastAsia="zh-CN"/>
        </w:rPr>
        <w:t>9</w:t>
      </w:r>
      <w:r>
        <w:rPr>
          <w:rFonts w:hint="eastAsia"/>
          <w:highlight w:val="none"/>
          <w:lang w:val="en-US" w:eastAsia="zh-CN"/>
        </w:rPr>
        <w:t>3.7</w:t>
      </w:r>
      <w:r>
        <w:rPr>
          <w:rFonts w:hint="eastAsia" w:ascii="Times New Roman" w:hAnsi="Times New Roman" w:eastAsia="宋体"/>
          <w:highlight w:val="none"/>
        </w:rPr>
        <w:t>%</w:t>
      </w:r>
      <w:r>
        <w:rPr>
          <w:rFonts w:hint="eastAsia" w:ascii="Times New Roman" w:hAnsi="Times New Roman" w:eastAsia="宋体"/>
        </w:rPr>
        <w:t>。</w:t>
      </w:r>
    </w:p>
    <w:p>
      <w:pPr>
        <w:pStyle w:val="10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olor w:val="auto"/>
          <w:szCs w:val="24"/>
        </w:rPr>
      </w:pPr>
      <w:r>
        <w:rPr>
          <w:rFonts w:hint="eastAsia" w:ascii="Times New Roman" w:hAnsi="Times New Roman" w:eastAsia="宋体"/>
          <w:color w:val="auto"/>
          <w:szCs w:val="21"/>
          <w:lang w:val="en-US" w:eastAsia="zh-CN"/>
        </w:rPr>
        <w:t>2、</w:t>
      </w:r>
      <w:r>
        <w:rPr>
          <w:rFonts w:hint="eastAsia" w:ascii="Times New Roman" w:hAnsi="Times New Roman" w:eastAsia="宋体"/>
          <w:color w:val="auto"/>
          <w:szCs w:val="24"/>
        </w:rPr>
        <w:t>验收监测期间，厂界</w:t>
      </w:r>
      <w:r>
        <w:rPr>
          <w:rFonts w:hint="eastAsia" w:ascii="Times New Roman" w:hAnsi="Times New Roman" w:eastAsia="宋体"/>
          <w:color w:val="auto"/>
          <w:szCs w:val="24"/>
          <w:lang w:eastAsia="zh-CN"/>
        </w:rPr>
        <w:t>非甲烷总烃</w:t>
      </w:r>
      <w:r>
        <w:rPr>
          <w:rFonts w:hint="eastAsia" w:ascii="Times New Roman" w:hAnsi="Times New Roman" w:eastAsia="宋体"/>
          <w:color w:val="auto"/>
          <w:szCs w:val="24"/>
        </w:rPr>
        <w:t>无组织排放浓度最大值为</w:t>
      </w:r>
      <w:r>
        <w:rPr>
          <w:rFonts w:hint="eastAsia"/>
          <w:color w:val="auto"/>
          <w:szCs w:val="24"/>
          <w:lang w:val="en-US" w:eastAsia="zh-CN"/>
        </w:rPr>
        <w:t>2.14</w:t>
      </w:r>
      <w:r>
        <w:rPr>
          <w:rFonts w:ascii="Times New Roman" w:hAnsi="Times New Roman" w:eastAsia="宋体"/>
          <w:color w:val="auto"/>
          <w:szCs w:val="24"/>
          <w:highlight w:val="none"/>
        </w:rPr>
        <w:t>mg/m</w:t>
      </w:r>
      <w:r>
        <w:rPr>
          <w:rFonts w:ascii="Times New Roman" w:hAnsi="Times New Roman" w:eastAsia="宋体"/>
          <w:color w:val="auto"/>
          <w:szCs w:val="24"/>
          <w:highlight w:val="none"/>
          <w:vertAlign w:val="superscript"/>
        </w:rPr>
        <w:t>3</w:t>
      </w:r>
      <w:r>
        <w:rPr>
          <w:rFonts w:hint="eastAsia" w:ascii="Times New Roman" w:hAnsi="Times New Roman" w:eastAsia="宋体"/>
          <w:color w:val="auto"/>
          <w:szCs w:val="24"/>
        </w:rPr>
        <w:t>，</w:t>
      </w:r>
      <w:r>
        <w:rPr>
          <w:rFonts w:hint="eastAsia" w:ascii="Times New Roman" w:hAnsi="Times New Roman" w:eastAsia="宋体"/>
          <w:color w:val="auto"/>
        </w:rPr>
        <w:t>监测结果符合</w:t>
      </w:r>
      <w:r>
        <w:rPr>
          <w:rFonts w:hint="default" w:ascii="Times New Roman" w:hAnsi="Times New Roman" w:eastAsia="宋体" w:cs="Times New Roman"/>
          <w:kern w:val="0"/>
          <w:sz w:val="24"/>
        </w:rPr>
        <w:t>《合成树脂工业污染物排放标准》（GB31572-2015）</w:t>
      </w:r>
      <w:r>
        <w:rPr>
          <w:rFonts w:hint="eastAsia" w:ascii="Times New Roman" w:hAnsi="Times New Roman" w:eastAsia="宋体" w:cs="Times New Roman"/>
          <w:kern w:val="0"/>
          <w:sz w:val="24"/>
          <w:lang w:eastAsia="zh-CN"/>
        </w:rPr>
        <w:t>中</w:t>
      </w:r>
      <w:r>
        <w:rPr>
          <w:rFonts w:hint="default" w:ascii="Times New Roman" w:hAnsi="Times New Roman" w:eastAsia="宋体" w:cs="Times New Roman"/>
          <w:kern w:val="0"/>
          <w:sz w:val="24"/>
        </w:rPr>
        <w:t>表9企业边界大气污染物浓度限值</w:t>
      </w:r>
      <w:r>
        <w:rPr>
          <w:rFonts w:hint="eastAsia" w:ascii="Times New Roman" w:hAnsi="Times New Roman" w:eastAsia="宋体" w:cs="Times New Roman"/>
          <w:kern w:val="0"/>
          <w:sz w:val="24"/>
          <w:lang w:eastAsia="zh-CN"/>
        </w:rPr>
        <w:t>；</w:t>
      </w:r>
      <w:r>
        <w:rPr>
          <w:rFonts w:hint="eastAsia" w:ascii="Times New Roman" w:hAnsi="Times New Roman" w:eastAsia="宋体"/>
          <w:color w:val="auto"/>
          <w:szCs w:val="24"/>
        </w:rPr>
        <w:t>厂</w:t>
      </w:r>
      <w:r>
        <w:rPr>
          <w:rFonts w:hint="eastAsia" w:ascii="Times New Roman" w:hAnsi="Times New Roman" w:eastAsia="宋体"/>
          <w:color w:val="auto"/>
          <w:szCs w:val="24"/>
          <w:lang w:eastAsia="zh-CN"/>
        </w:rPr>
        <w:t>区内非甲烷总烃任意一次浓度值为</w:t>
      </w:r>
      <w:r>
        <w:rPr>
          <w:rFonts w:hint="eastAsia"/>
          <w:color w:val="auto"/>
          <w:szCs w:val="24"/>
          <w:lang w:val="en-US" w:eastAsia="zh-CN"/>
        </w:rPr>
        <w:t>2.12</w:t>
      </w:r>
      <w:r>
        <w:rPr>
          <w:rFonts w:ascii="Times New Roman" w:hAnsi="Times New Roman" w:eastAsia="宋体"/>
          <w:color w:val="auto"/>
          <w:szCs w:val="24"/>
        </w:rPr>
        <w:t>mg/m</w:t>
      </w:r>
      <w:r>
        <w:rPr>
          <w:rFonts w:ascii="Times New Roman" w:hAnsi="Times New Roman" w:eastAsia="宋体"/>
          <w:color w:val="auto"/>
          <w:szCs w:val="24"/>
          <w:vertAlign w:val="superscript"/>
        </w:rPr>
        <w:t>3</w:t>
      </w:r>
      <w:r>
        <w:rPr>
          <w:rFonts w:hint="eastAsia" w:ascii="Times New Roman" w:hAnsi="Times New Roman" w:eastAsia="宋体" w:cs="宋体"/>
          <w:color w:val="auto"/>
          <w:sz w:val="24"/>
          <w:szCs w:val="24"/>
          <w:lang w:eastAsia="zh-CN"/>
        </w:rPr>
        <w:t>，监测结果符合</w:t>
      </w:r>
      <w:r>
        <w:rPr>
          <w:rFonts w:hint="eastAsia" w:ascii="Times New Roman" w:hAnsi="Times New Roman" w:eastAsia="宋体" w:cs="Times New Roman"/>
          <w:kern w:val="0"/>
          <w:sz w:val="24"/>
          <w:lang w:eastAsia="zh-CN"/>
        </w:rPr>
        <w:t>《挥发性有机物无组织排放控制标准》（GB37822-2019）中表A.1规定的限值要求。</w:t>
      </w:r>
    </w:p>
    <w:p>
      <w:pPr>
        <w:pStyle w:val="104"/>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olor w:val="auto"/>
        </w:rPr>
      </w:pPr>
      <w:r>
        <w:rPr>
          <w:rFonts w:hint="eastAsia" w:ascii="Times New Roman" w:hAnsi="Times New Roman" w:eastAsia="宋体"/>
          <w:color w:val="auto"/>
          <w:szCs w:val="21"/>
          <w:lang w:val="en-US" w:eastAsia="zh-CN"/>
        </w:rPr>
        <w:t>3、</w:t>
      </w:r>
      <w:r>
        <w:rPr>
          <w:rFonts w:ascii="Times New Roman" w:hAnsi="Times New Roman" w:eastAsia="宋体"/>
          <w:color w:val="auto"/>
        </w:rPr>
        <w:t>厂界</w:t>
      </w:r>
      <w:r>
        <w:rPr>
          <w:rFonts w:hint="eastAsia" w:ascii="Times New Roman" w:hAnsi="Times New Roman" w:eastAsia="宋体"/>
          <w:color w:val="auto"/>
        </w:rPr>
        <w:t>昼间噪声监测结果为5</w:t>
      </w:r>
      <w:r>
        <w:rPr>
          <w:rFonts w:hint="eastAsia" w:ascii="Times New Roman" w:hAnsi="Times New Roman" w:eastAsia="宋体"/>
          <w:color w:val="auto"/>
          <w:lang w:val="en-US" w:eastAsia="zh-CN"/>
        </w:rPr>
        <w:t>5</w:t>
      </w:r>
      <w:r>
        <w:rPr>
          <w:rFonts w:hint="eastAsia" w:ascii="Times New Roman" w:hAnsi="Times New Roman" w:eastAsia="宋体"/>
          <w:color w:val="auto"/>
        </w:rPr>
        <w:t xml:space="preserve">~ </w:t>
      </w:r>
      <w:r>
        <w:rPr>
          <w:rFonts w:hint="eastAsia" w:ascii="Times New Roman" w:hAnsi="Times New Roman" w:eastAsia="宋体"/>
          <w:color w:val="auto"/>
          <w:lang w:val="en-US" w:eastAsia="zh-CN"/>
        </w:rPr>
        <w:t>57</w:t>
      </w:r>
      <w:r>
        <w:rPr>
          <w:rFonts w:hint="eastAsia" w:ascii="Times New Roman" w:hAnsi="Times New Roman" w:eastAsia="宋体"/>
          <w:color w:val="auto"/>
        </w:rPr>
        <w:t>dB(A)，夜间噪声监测结果为</w:t>
      </w:r>
      <w:r>
        <w:rPr>
          <w:rFonts w:hint="eastAsia" w:ascii="Times New Roman" w:hAnsi="Times New Roman" w:eastAsia="宋体"/>
          <w:color w:val="auto"/>
          <w:lang w:val="en-US" w:eastAsia="zh-CN"/>
        </w:rPr>
        <w:t>45</w:t>
      </w:r>
      <w:r>
        <w:rPr>
          <w:rFonts w:hint="eastAsia" w:ascii="Times New Roman" w:hAnsi="Times New Roman" w:eastAsia="宋体"/>
          <w:color w:val="auto"/>
        </w:rPr>
        <w:t>~</w:t>
      </w:r>
      <w:r>
        <w:rPr>
          <w:rFonts w:hint="eastAsia" w:ascii="Times New Roman" w:hAnsi="Times New Roman" w:eastAsia="宋体"/>
          <w:color w:val="auto"/>
          <w:lang w:val="en-US" w:eastAsia="zh-CN"/>
        </w:rPr>
        <w:t>46</w:t>
      </w:r>
      <w:r>
        <w:rPr>
          <w:rFonts w:hint="eastAsia" w:ascii="Times New Roman" w:hAnsi="Times New Roman" w:eastAsia="宋体"/>
          <w:color w:val="auto"/>
        </w:rPr>
        <w:t xml:space="preserve"> dB(A)，</w:t>
      </w:r>
      <w:r>
        <w:rPr>
          <w:rFonts w:ascii="Times New Roman" w:hAnsi="Times New Roman" w:eastAsia="宋体"/>
          <w:color w:val="auto"/>
        </w:rPr>
        <w:t>噪声</w:t>
      </w:r>
      <w:r>
        <w:rPr>
          <w:rFonts w:hint="eastAsia" w:ascii="Times New Roman" w:hAnsi="Times New Roman" w:eastAsia="宋体"/>
          <w:color w:val="auto"/>
        </w:rPr>
        <w:t>监测结果符合</w:t>
      </w:r>
      <w:r>
        <w:rPr>
          <w:rFonts w:ascii="Times New Roman" w:hAnsi="Times New Roman" w:eastAsia="宋体"/>
          <w:color w:val="auto"/>
        </w:rPr>
        <w:t>《工业企业厂界环境噪声排放标准》</w:t>
      </w:r>
      <w:r>
        <w:rPr>
          <w:rFonts w:hint="eastAsia" w:ascii="Times New Roman" w:hAnsi="Times New Roman" w:eastAsia="宋体"/>
          <w:color w:val="auto"/>
        </w:rPr>
        <w:t>（</w:t>
      </w:r>
      <w:r>
        <w:rPr>
          <w:rFonts w:ascii="Times New Roman" w:hAnsi="Times New Roman" w:eastAsia="宋体"/>
          <w:color w:val="auto"/>
        </w:rPr>
        <w:t>GB12348-</w:t>
      </w:r>
      <w:r>
        <w:rPr>
          <w:rFonts w:hint="eastAsia" w:ascii="Times New Roman" w:hAnsi="Times New Roman" w:eastAsia="宋体"/>
          <w:color w:val="auto"/>
        </w:rPr>
        <w:t xml:space="preserve"> </w:t>
      </w:r>
      <w:r>
        <w:rPr>
          <w:rFonts w:ascii="Times New Roman" w:hAnsi="Times New Roman" w:eastAsia="宋体"/>
          <w:color w:val="auto"/>
        </w:rPr>
        <w:t>2008</w:t>
      </w:r>
      <w:r>
        <w:rPr>
          <w:rFonts w:hint="eastAsia" w:ascii="Times New Roman" w:hAnsi="Times New Roman" w:eastAsia="宋体"/>
          <w:color w:val="auto"/>
        </w:rPr>
        <w:t>）</w:t>
      </w:r>
      <w:r>
        <w:rPr>
          <w:rFonts w:ascii="Times New Roman" w:hAnsi="Times New Roman" w:eastAsia="宋体"/>
          <w:color w:val="auto"/>
        </w:rPr>
        <w:t>中</w:t>
      </w:r>
      <w:r>
        <w:rPr>
          <w:rFonts w:hint="eastAsia" w:ascii="Times New Roman" w:hAnsi="Times New Roman" w:eastAsia="宋体"/>
          <w:color w:val="auto"/>
          <w:lang w:val="en-US" w:eastAsia="zh-CN"/>
        </w:rPr>
        <w:t>2</w:t>
      </w:r>
      <w:r>
        <w:rPr>
          <w:rFonts w:ascii="Times New Roman" w:hAnsi="Times New Roman" w:eastAsia="宋体"/>
          <w:color w:val="auto"/>
        </w:rPr>
        <w:t>类标准</w:t>
      </w:r>
      <w:r>
        <w:rPr>
          <w:rFonts w:hint="eastAsia" w:ascii="Times New Roman" w:hAnsi="Times New Roman" w:eastAsia="宋体"/>
          <w:color w:val="auto"/>
        </w:rPr>
        <w:t>。</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z w:val="28"/>
          <w:szCs w:val="28"/>
        </w:rPr>
      </w:pPr>
      <w:r>
        <w:rPr>
          <w:rFonts w:hint="eastAsia" w:ascii="Times New Roman" w:hAnsi="Times New Roman" w:eastAsia="宋体" w:cs="Times New Roman"/>
          <w:color w:val="auto"/>
          <w:sz w:val="24"/>
          <w:szCs w:val="20"/>
        </w:rPr>
        <w:t>综上所述，</w:t>
      </w:r>
      <w:r>
        <w:rPr>
          <w:rFonts w:hint="eastAsia" w:ascii="Times New Roman" w:hAnsi="Times New Roman" w:eastAsia="宋体" w:cs="Times New Roman"/>
          <w:color w:val="auto"/>
          <w:sz w:val="24"/>
          <w:szCs w:val="20"/>
          <w:lang w:eastAsia="zh-CN"/>
        </w:rPr>
        <w:t>合肥皖玻塑业有限公司年产8000吨再生塑料颗粒生产项目</w:t>
      </w:r>
      <w:r>
        <w:rPr>
          <w:rFonts w:hint="eastAsia" w:ascii="Times New Roman" w:hAnsi="Times New Roman" w:eastAsia="宋体" w:cs="Times New Roman"/>
          <w:color w:val="auto"/>
          <w:sz w:val="24"/>
          <w:szCs w:val="20"/>
        </w:rPr>
        <w:t>较好地执行了环境影响评价制度和环保“三同时”制度，项目建设内容按照环评报告书及相关审批决定要求落实了污染防治措施，主要污染物达标排放，不存在《建设项目竣工环境保护验收暂行办法》中九条不予验收的情形</w:t>
      </w:r>
      <w:r>
        <w:rPr>
          <w:rFonts w:hint="eastAsia" w:ascii="Times New Roman" w:hAnsi="Times New Roman" w:eastAsia="宋体" w:cs="Times New Roman"/>
          <w:color w:val="auto"/>
          <w:sz w:val="24"/>
          <w:szCs w:val="24"/>
        </w:rPr>
        <w:t>。</w:t>
      </w:r>
      <w:r>
        <w:rPr>
          <w:rFonts w:hint="eastAsia" w:ascii="Times New Roman" w:hAnsi="Times New Roman" w:eastAsia="宋体"/>
          <w:sz w:val="24"/>
          <w:szCs w:val="24"/>
        </w:rPr>
        <w:t>同意项目通过竣工环境保护验收。</w:t>
      </w:r>
    </w:p>
    <w:p>
      <w:pPr>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eastAsia="宋体" w:cs="Times New Roman"/>
          <w:color w:val="auto"/>
          <w:sz w:val="24"/>
          <w:szCs w:val="20"/>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line="240" w:lineRule="exact"/>
        <w:jc w:val="center"/>
        <w:rPr>
          <w:rFonts w:ascii="Times New Roman" w:hAnsi="Times New Roman" w:eastAsia="宋体"/>
          <w:color w:val="auto"/>
          <w:sz w:val="24"/>
          <w:szCs w:val="24"/>
          <w:highlight w:val="none"/>
        </w:rPr>
      </w:pPr>
      <w:bookmarkStart w:id="150" w:name="_Toc507454909"/>
      <w:bookmarkStart w:id="151" w:name="_Toc25626"/>
      <w:r>
        <w:rPr>
          <w:rFonts w:hint="eastAsia" w:ascii="Times New Roman" w:hAnsi="Times New Roman" w:eastAsia="宋体"/>
          <w:color w:val="auto"/>
          <w:sz w:val="24"/>
          <w:szCs w:val="24"/>
        </w:rPr>
        <w:t>十一、</w:t>
      </w:r>
      <w:r>
        <w:rPr>
          <w:rFonts w:hint="eastAsia" w:ascii="Times New Roman" w:hAnsi="Times New Roman" w:eastAsia="宋体"/>
          <w:color w:val="auto"/>
          <w:sz w:val="24"/>
          <w:szCs w:val="24"/>
          <w:highlight w:val="none"/>
        </w:rPr>
        <w:t>建设项目环境保护“三同时”竣工验收登记表</w:t>
      </w:r>
      <w:bookmarkEnd w:id="150"/>
      <w:bookmarkEnd w:id="151"/>
    </w:p>
    <w:p>
      <w:pPr>
        <w:rPr>
          <w:rFonts w:ascii="Times New Roman" w:hAnsi="Times New Roman" w:eastAsia="宋体"/>
          <w:color w:val="auto"/>
          <w:sz w:val="18"/>
          <w:szCs w:val="18"/>
        </w:rPr>
      </w:pPr>
      <w:r>
        <w:rPr>
          <w:rFonts w:ascii="Times New Roman" w:hAnsi="Times New Roman" w:eastAsia="宋体"/>
          <w:color w:val="auto"/>
          <w:sz w:val="18"/>
          <w:szCs w:val="18"/>
        </w:rPr>
        <w:t>填表单位（盖章）：</w:t>
      </w:r>
      <w:r>
        <w:rPr>
          <w:rFonts w:hint="eastAsia" w:ascii="Times New Roman" w:hAnsi="Times New Roman" w:eastAsia="宋体"/>
          <w:color w:val="auto"/>
          <w:sz w:val="18"/>
          <w:szCs w:val="18"/>
        </w:rPr>
        <w:t xml:space="preserve">               </w:t>
      </w:r>
      <w:r>
        <w:rPr>
          <w:rFonts w:ascii="Times New Roman" w:hAnsi="Times New Roman" w:eastAsia="宋体"/>
          <w:color w:val="auto"/>
          <w:sz w:val="18"/>
          <w:szCs w:val="18"/>
        </w:rPr>
        <w:t>填表人（签字）：</w:t>
      </w:r>
      <w:r>
        <w:rPr>
          <w:rFonts w:hint="eastAsia" w:ascii="Times New Roman" w:hAnsi="Times New Roman" w:eastAsia="宋体"/>
          <w:color w:val="auto"/>
          <w:sz w:val="18"/>
          <w:szCs w:val="18"/>
        </w:rPr>
        <w:t xml:space="preserve">                                  </w:t>
      </w:r>
      <w:r>
        <w:rPr>
          <w:rFonts w:ascii="Times New Roman" w:hAnsi="Times New Roman" w:eastAsia="宋体"/>
          <w:color w:val="auto"/>
          <w:sz w:val="18"/>
          <w:szCs w:val="18"/>
        </w:rPr>
        <w:t>项目经办人（签字）：</w:t>
      </w:r>
    </w:p>
    <w:tbl>
      <w:tblPr>
        <w:tblStyle w:val="29"/>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511"/>
        <w:gridCol w:w="588"/>
        <w:gridCol w:w="1137"/>
        <w:gridCol w:w="1104"/>
        <w:gridCol w:w="1701"/>
        <w:gridCol w:w="1004"/>
        <w:gridCol w:w="690"/>
        <w:gridCol w:w="554"/>
        <w:gridCol w:w="446"/>
        <w:gridCol w:w="656"/>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restart"/>
            <w:tcMar>
              <w:left w:w="57" w:type="dxa"/>
              <w:right w:w="57" w:type="dxa"/>
            </w:tcMar>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113" w:right="113"/>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建设项目</w:t>
            </w: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项目名称</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宋体"/>
                <w:bCs/>
                <w:color w:val="auto"/>
                <w:sz w:val="15"/>
                <w:szCs w:val="15"/>
                <w:lang w:eastAsia="zh-CN"/>
              </w:rPr>
              <w:t>合肥皖玻塑业有限公司年产8000吨再生塑料颗粒生产项目</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项目代码</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建设地点</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5"/>
                <w:szCs w:val="15"/>
                <w:lang w:eastAsia="zh-CN"/>
              </w:rPr>
            </w:pPr>
            <w:r>
              <w:rPr>
                <w:rFonts w:hint="eastAsia" w:ascii="Times New Roman" w:hAnsi="Times New Roman" w:eastAsia="宋体" w:cs="Times New Roman"/>
                <w:color w:val="auto"/>
                <w:kern w:val="0"/>
                <w:sz w:val="15"/>
                <w:szCs w:val="15"/>
                <w:lang w:eastAsia="zh-CN"/>
              </w:rPr>
              <w:t>合肥市长丰县庄墓镇合淮路东侧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行业类别（分类管理名录）</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Cs/>
                <w:color w:val="auto"/>
                <w:sz w:val="15"/>
                <w:szCs w:val="15"/>
              </w:rPr>
            </w:pPr>
            <w:r>
              <w:rPr>
                <w:rFonts w:hint="eastAsia" w:ascii="Times New Roman" w:hAnsi="Times New Roman" w:eastAsia="宋体" w:cs="宋体"/>
                <w:bCs/>
                <w:color w:val="auto"/>
                <w:sz w:val="15"/>
                <w:szCs w:val="15"/>
                <w:lang w:eastAsia="zh-CN"/>
              </w:rPr>
              <w:t>C-4220非金属废料和碎屑加工处理</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建设性质</w:t>
            </w:r>
          </w:p>
        </w:tc>
        <w:tc>
          <w:tcPr>
            <w:tcW w:w="3395"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fldChar w:fldCharType="begin"/>
            </w:r>
            <w:r>
              <w:rPr>
                <w:rFonts w:ascii="Times New Roman" w:hAnsi="Times New Roman" w:eastAsia="宋体" w:cs="Times New Roman"/>
                <w:b/>
                <w:color w:val="auto"/>
                <w:sz w:val="15"/>
                <w:szCs w:val="15"/>
              </w:rPr>
              <w:instrText xml:space="preserve">eq \o\ac(□,</w:instrText>
            </w:r>
            <w:r>
              <w:rPr>
                <w:rFonts w:ascii="Times New Roman" w:hAnsi="Times New Roman" w:eastAsia="宋体" w:cs="Times New Roman"/>
                <w:b/>
                <w:color w:val="auto"/>
                <w:position w:val="1"/>
                <w:sz w:val="8"/>
                <w:szCs w:val="15"/>
              </w:rPr>
              <w:instrText xml:space="preserve">√</w:instrText>
            </w:r>
            <w:r>
              <w:rPr>
                <w:rFonts w:ascii="Times New Roman" w:hAnsi="Times New Roman" w:eastAsia="宋体" w:cs="Times New Roman"/>
                <w:b/>
                <w:color w:val="auto"/>
                <w:sz w:val="15"/>
                <w:szCs w:val="15"/>
              </w:rPr>
              <w:instrText xml:space="preserve">)</w:instrText>
            </w:r>
            <w:r>
              <w:rPr>
                <w:rFonts w:ascii="Times New Roman" w:hAnsi="Times New Roman" w:eastAsia="宋体" w:cs="Times New Roman"/>
                <w:b/>
                <w:color w:val="auto"/>
                <w:sz w:val="15"/>
                <w:szCs w:val="15"/>
              </w:rPr>
              <w:fldChar w:fldCharType="end"/>
            </w:r>
            <w:r>
              <w:rPr>
                <w:rFonts w:ascii="Times New Roman" w:hAnsi="Times New Roman" w:eastAsia="宋体" w:cs="Times New Roman"/>
                <w:b/>
                <w:color w:val="auto"/>
                <w:sz w:val="15"/>
                <w:szCs w:val="15"/>
              </w:rPr>
              <w:t>新建  □改扩建  □技术改造</w:t>
            </w:r>
          </w:p>
        </w:tc>
        <w:tc>
          <w:tcPr>
            <w:tcW w:w="100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项目厂区中心经度/纬度</w:t>
            </w:r>
          </w:p>
        </w:tc>
        <w:tc>
          <w:tcPr>
            <w:tcW w:w="1450"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E117.123442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N 32.325880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设计生产能力</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15"/>
                <w:szCs w:val="15"/>
                <w:lang w:val="en-US" w:eastAsia="zh-CN"/>
              </w:rPr>
            </w:pPr>
            <w:r>
              <w:rPr>
                <w:rFonts w:hint="eastAsia" w:ascii="Times New Roman" w:hAnsi="Times New Roman" w:eastAsia="宋体" w:cs="宋体"/>
                <w:bCs/>
                <w:color w:val="auto"/>
                <w:sz w:val="15"/>
                <w:szCs w:val="15"/>
              </w:rPr>
              <w:t>设计</w:t>
            </w:r>
            <w:r>
              <w:rPr>
                <w:rFonts w:hint="eastAsia" w:ascii="Times New Roman" w:hAnsi="Times New Roman" w:eastAsia="宋体" w:cs="宋体"/>
                <w:bCs/>
                <w:color w:val="auto"/>
                <w:sz w:val="15"/>
                <w:szCs w:val="15"/>
                <w:lang w:eastAsia="zh-CN"/>
              </w:rPr>
              <w:t>规模为</w:t>
            </w:r>
            <w:r>
              <w:rPr>
                <w:rFonts w:hint="eastAsia" w:ascii="Times New Roman" w:hAnsi="Times New Roman" w:eastAsia="宋体" w:cs="宋体"/>
                <w:bCs/>
                <w:color w:val="auto"/>
                <w:sz w:val="15"/>
                <w:szCs w:val="15"/>
                <w:lang w:val="en-US" w:eastAsia="zh-CN"/>
              </w:rPr>
              <w:t>8000t/a</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实际生产能力</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hint="eastAsia" w:ascii="Times New Roman" w:hAnsi="Times New Roman" w:eastAsia="宋体" w:cs="宋体"/>
                <w:bCs/>
                <w:color w:val="auto"/>
                <w:sz w:val="15"/>
                <w:szCs w:val="15"/>
                <w:lang w:eastAsia="zh-CN"/>
              </w:rPr>
              <w:t>实际规模为</w:t>
            </w:r>
            <w:r>
              <w:rPr>
                <w:rFonts w:hint="eastAsia" w:ascii="Times New Roman" w:hAnsi="Times New Roman" w:eastAsia="宋体" w:cs="宋体"/>
                <w:bCs/>
                <w:color w:val="auto"/>
                <w:sz w:val="15"/>
                <w:szCs w:val="15"/>
                <w:lang w:val="en-US" w:eastAsia="zh-CN"/>
              </w:rPr>
              <w:t>1300t/a</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环评单位</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环评文件批复机关</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eastAsia="zh-CN"/>
              </w:rPr>
              <w:t>合肥市长丰县</w:t>
            </w:r>
            <w:r>
              <w:rPr>
                <w:rFonts w:hint="eastAsia" w:ascii="Times New Roman" w:hAnsi="Times New Roman" w:eastAsia="宋体" w:cs="Times New Roman"/>
                <w:color w:val="auto"/>
                <w:sz w:val="15"/>
                <w:szCs w:val="15"/>
              </w:rPr>
              <w:t>生态环境</w:t>
            </w:r>
            <w:r>
              <w:rPr>
                <w:rFonts w:hint="eastAsia" w:ascii="Times New Roman" w:hAnsi="Times New Roman" w:eastAsia="宋体" w:cs="Times New Roman"/>
                <w:color w:val="auto"/>
                <w:sz w:val="15"/>
                <w:szCs w:val="15"/>
                <w:lang w:eastAsia="zh-CN"/>
              </w:rPr>
              <w:t>分</w:t>
            </w:r>
            <w:r>
              <w:rPr>
                <w:rFonts w:hint="eastAsia" w:ascii="Times New Roman" w:hAnsi="Times New Roman" w:eastAsia="宋体" w:cs="Times New Roman"/>
                <w:color w:val="auto"/>
                <w:sz w:val="15"/>
                <w:szCs w:val="15"/>
              </w:rPr>
              <w:t>局</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批复文号</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eastAsia="zh-CN"/>
              </w:rPr>
              <w:t>长</w:t>
            </w:r>
            <w:r>
              <w:rPr>
                <w:rFonts w:hint="eastAsia" w:ascii="Times New Roman" w:hAnsi="Times New Roman" w:eastAsia="宋体" w:cs="Times New Roman"/>
                <w:color w:val="auto"/>
                <w:sz w:val="15"/>
                <w:szCs w:val="15"/>
              </w:rPr>
              <w:t>环建[20</w:t>
            </w:r>
            <w:r>
              <w:rPr>
                <w:rFonts w:hint="eastAsia" w:ascii="Times New Roman" w:hAnsi="Times New Roman" w:eastAsia="宋体" w:cs="Times New Roman"/>
                <w:color w:val="auto"/>
                <w:sz w:val="15"/>
                <w:szCs w:val="15"/>
                <w:lang w:val="en-US" w:eastAsia="zh-CN"/>
              </w:rPr>
              <w:t>19</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95</w:t>
            </w:r>
            <w:r>
              <w:rPr>
                <w:rFonts w:hint="eastAsia" w:ascii="Times New Roman" w:hAnsi="Times New Roman" w:eastAsia="宋体" w:cs="Times New Roman"/>
                <w:color w:val="auto"/>
                <w:sz w:val="15"/>
                <w:szCs w:val="15"/>
              </w:rPr>
              <w:t>号</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环评文件类型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开工日期</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2019年6月</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竣工日期</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2020年4月</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排污许可证申领时间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3月1日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环保设施设计单位</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环保设施施工单位</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本工程排污许可证编号</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9134012MA2T0B9202002U</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验收单位</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15"/>
                <w:szCs w:val="15"/>
                <w:lang w:eastAsia="zh-CN"/>
              </w:rPr>
            </w:pPr>
            <w:r>
              <w:rPr>
                <w:rFonts w:hint="eastAsia" w:ascii="Times New Roman" w:hAnsi="Times New Roman" w:eastAsia="宋体" w:cs="Times New Roman"/>
                <w:color w:val="auto"/>
                <w:sz w:val="15"/>
                <w:szCs w:val="15"/>
              </w:rPr>
              <w:t>/</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环保设施监测单位</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Times New Roman"/>
                <w:color w:val="auto"/>
                <w:sz w:val="15"/>
                <w:szCs w:val="15"/>
                <w:lang w:eastAsia="zh-CN"/>
              </w:rPr>
              <w:t>安徽尚德谱检测技术有限责任公司</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验收监测时工况</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投资总概算（万元）</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5"/>
                <w:szCs w:val="15"/>
                <w:lang w:val="en-US" w:eastAsia="zh-CN"/>
              </w:rPr>
            </w:pPr>
            <w:r>
              <w:rPr>
                <w:rFonts w:hint="eastAsia" w:ascii="Times New Roman" w:hAnsi="Times New Roman" w:eastAsia="宋体" w:cs="Times New Roman"/>
                <w:color w:val="auto"/>
                <w:kern w:val="0"/>
                <w:sz w:val="15"/>
                <w:szCs w:val="15"/>
                <w:lang w:val="en-US" w:eastAsia="zh-CN"/>
              </w:rPr>
              <w:t>2000</w:t>
            </w:r>
          </w:p>
        </w:tc>
        <w:tc>
          <w:tcPr>
            <w:tcW w:w="2241"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环保投资总概算（万元）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70</w:t>
            </w:r>
          </w:p>
        </w:tc>
        <w:tc>
          <w:tcPr>
            <w:tcW w:w="1694" w:type="dxa"/>
            <w:gridSpan w:val="2"/>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tabs>
                <w:tab w:val="left" w:pos="69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实际总投资</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rPr>
            </w:pPr>
            <w:r>
              <w:rPr>
                <w:rFonts w:hint="eastAsia" w:ascii="Times New Roman" w:hAnsi="Times New Roman" w:eastAsia="宋体" w:cs="Times New Roman"/>
                <w:color w:val="auto"/>
                <w:kern w:val="0"/>
                <w:sz w:val="15"/>
                <w:szCs w:val="15"/>
                <w:lang w:val="en-US" w:eastAsia="zh-CN"/>
              </w:rPr>
              <w:t>500</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right="300"/>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实际环保投资（万元）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50</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所占比例（%）</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废水治理（万元）</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10</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废气治理（万元）</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10</w:t>
            </w:r>
          </w:p>
        </w:tc>
        <w:tc>
          <w:tcPr>
            <w:tcW w:w="150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噪声治理（万元）</w:t>
            </w:r>
          </w:p>
        </w:tc>
        <w:tc>
          <w:tcPr>
            <w:tcW w:w="58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2</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固体废物治理（万元）</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10</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绿化及生态（万元）</w:t>
            </w:r>
          </w:p>
        </w:tc>
        <w:tc>
          <w:tcPr>
            <w:tcW w:w="55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其他（万元）</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lang w:val="en-US" w:eastAsia="zh-CN"/>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0"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964" w:type="dxa"/>
            <w:gridSpan w:val="3"/>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新增废水处理设施能力</w:t>
            </w:r>
          </w:p>
        </w:tc>
        <w:tc>
          <w:tcPr>
            <w:tcW w:w="5396" w:type="dxa"/>
            <w:gridSpan w:val="7"/>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rPr>
              <w:t>/</w:t>
            </w:r>
          </w:p>
        </w:tc>
        <w:tc>
          <w:tcPr>
            <w:tcW w:w="2241"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新增废气处理设施能力</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color w:val="auto"/>
                <w:sz w:val="15"/>
                <w:szCs w:val="15"/>
              </w:rPr>
              <w:t>/</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年平均工作时</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hint="eastAsia" w:ascii="Times New Roman" w:hAnsi="Times New Roman" w:eastAsia="宋体" w:cs="Times New Roman"/>
                <w:color w:val="auto"/>
                <w:sz w:val="15"/>
                <w:szCs w:val="15"/>
                <w:lang w:val="en-US" w:eastAsia="zh-CN"/>
              </w:rPr>
              <w:t>3600</w:t>
            </w:r>
            <w:r>
              <w:rPr>
                <w:rFonts w:hint="eastAsia" w:ascii="Times New Roman" w:hAnsi="Times New Roman" w:eastAsia="宋体" w:cs="Times New Roman"/>
                <w:color w:val="auto"/>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94"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运营单位</w:t>
            </w:r>
          </w:p>
        </w:tc>
        <w:tc>
          <w:tcPr>
            <w:tcW w:w="4291"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5"/>
                <w:szCs w:val="15"/>
                <w:lang w:eastAsia="zh-CN"/>
              </w:rPr>
            </w:pPr>
            <w:r>
              <w:rPr>
                <w:rFonts w:hint="eastAsia" w:ascii="Times New Roman" w:hAnsi="Times New Roman" w:eastAsia="宋体" w:cs="宋体"/>
                <w:bCs/>
                <w:color w:val="auto"/>
                <w:sz w:val="15"/>
                <w:szCs w:val="15"/>
                <w:lang w:eastAsia="zh-CN"/>
              </w:rPr>
              <w:t>合肥皖玻塑业有限公司</w:t>
            </w:r>
          </w:p>
        </w:tc>
        <w:tc>
          <w:tcPr>
            <w:tcW w:w="3346" w:type="dxa"/>
            <w:gridSpan w:val="5"/>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运营单位社会统一信用代码（或组织机构代码）</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57" w:leftChars="-27" w:right="-57" w:rightChars="-27"/>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shd w:val="clear" w:color="auto" w:fill="FFFFFF"/>
              </w:rPr>
              <w:t>9134</w:t>
            </w:r>
            <w:r>
              <w:rPr>
                <w:rFonts w:hint="eastAsia" w:ascii="Times New Roman" w:hAnsi="Times New Roman" w:eastAsia="宋体" w:cs="Times New Roman"/>
                <w:color w:val="auto"/>
                <w:sz w:val="15"/>
                <w:szCs w:val="15"/>
                <w:shd w:val="clear" w:color="auto" w:fill="FFFFFF"/>
                <w:lang w:val="en-US" w:eastAsia="zh-CN"/>
              </w:rPr>
              <w:t>0121MA2T0B9202</w:t>
            </w:r>
          </w:p>
        </w:tc>
        <w:tc>
          <w:tcPr>
            <w:tcW w:w="169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验收时间</w:t>
            </w:r>
          </w:p>
        </w:tc>
        <w:tc>
          <w:tcPr>
            <w:tcW w:w="2450" w:type="dxa"/>
            <w:gridSpan w:val="4"/>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eastAsia" w:ascii="Times New Roman" w:hAnsi="Times New Roman" w:eastAsia="宋体" w:cs="Times New Roman"/>
                <w:color w:val="auto"/>
                <w:sz w:val="15"/>
                <w:szCs w:val="15"/>
              </w:rPr>
              <w:t>202</w:t>
            </w:r>
            <w:r>
              <w:rPr>
                <w:rFonts w:hint="eastAsia" w:ascii="Times New Roman" w:hAnsi="Times New Roman" w:eastAsia="宋体" w:cs="Times New Roman"/>
                <w:color w:val="auto"/>
                <w:sz w:val="15"/>
                <w:szCs w:val="15"/>
                <w:lang w:val="en-US" w:eastAsia="zh-CN"/>
              </w:rPr>
              <w:t>1</w:t>
            </w:r>
            <w:r>
              <w:rPr>
                <w:rFonts w:hint="eastAsia"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val="en-US" w:eastAsia="zh-CN"/>
              </w:rPr>
              <w:t>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污染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物排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放达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标与</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总量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pacing w:val="20"/>
                <w:sz w:val="15"/>
                <w:szCs w:val="15"/>
              </w:rPr>
            </w:pPr>
            <w:r>
              <w:rPr>
                <w:rFonts w:ascii="Times New Roman" w:hAnsi="Times New Roman" w:eastAsia="宋体" w:cs="Times New Roman"/>
                <w:b/>
                <w:color w:val="auto"/>
                <w:spacing w:val="20"/>
                <w:sz w:val="15"/>
                <w:szCs w:val="15"/>
              </w:rPr>
              <w:t>控制</w:t>
            </w:r>
          </w:p>
        </w:tc>
        <w:tc>
          <w:tcPr>
            <w:tcW w:w="1796"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污染物</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原有排</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放量(1)</w:t>
            </w: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本期工程实际排放浓度(2)</w:t>
            </w: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本期工程允许排放浓度(3)</w:t>
            </w: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本期工程产生量(4)</w:t>
            </w: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本期工程自身削减量(5)</w:t>
            </w: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本期工程实际排放量(6)</w:t>
            </w: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本期工程核定排放总量(7)</w:t>
            </w: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本期工程“以新带老”削减量(8)</w:t>
            </w: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全厂实际排放总量(9)</w:t>
            </w: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全厂核定排放总量(10)</w:t>
            </w: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区域平衡替代削减量(11)</w:t>
            </w: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ascii="Times New Roman" w:hAnsi="Times New Roman" w:eastAsia="宋体" w:cs="Times New Roman"/>
                <w:b/>
                <w:color w:val="auto"/>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vMerge w:val="restart"/>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r>
              <w:rPr>
                <w:rFonts w:ascii="Times New Roman" w:hAnsi="Times New Roman" w:eastAsia="宋体" w:cs="Times New Roman"/>
                <w:b/>
                <w:color w:val="auto"/>
                <w:sz w:val="15"/>
                <w:szCs w:val="15"/>
              </w:rPr>
              <w:t>与项目有关的其他特征污染物</w:t>
            </w: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r>
              <w:rPr>
                <w:rFonts w:hint="eastAsia" w:ascii="Times New Roman" w:hAnsi="Times New Roman" w:eastAsia="宋体" w:cs="Times New Roman"/>
                <w:b/>
                <w:color w:val="auto"/>
                <w:sz w:val="15"/>
                <w:szCs w:val="15"/>
              </w:rPr>
              <w:t>VOCs</w:t>
            </w: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color w:val="auto"/>
                <w:sz w:val="15"/>
                <w:szCs w:val="15"/>
                <w:lang w:val="en-US" w:eastAsia="zh-CN"/>
              </w:rPr>
              <w:t>0.1548</w:t>
            </w: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8" w:type="dxa"/>
            <w:gridSpan w:val="2"/>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vMerge w:val="continue"/>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6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828"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379"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993"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99"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137"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1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color w:val="auto"/>
                <w:sz w:val="15"/>
                <w:szCs w:val="15"/>
              </w:rPr>
            </w:pPr>
          </w:p>
        </w:tc>
        <w:tc>
          <w:tcPr>
            <w:tcW w:w="1701"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00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244"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1102" w:type="dxa"/>
            <w:gridSpan w:val="2"/>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c>
          <w:tcPr>
            <w:tcW w:w="794" w:type="dxa"/>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15"/>
                <w:szCs w:val="15"/>
              </w:rPr>
            </w:pPr>
          </w:p>
        </w:tc>
      </w:tr>
    </w:tbl>
    <w:p>
      <w:pPr>
        <w:ind w:left="-2" w:leftChars="-337" w:right="-783" w:rightChars="-373" w:hanging="706" w:hangingChars="469"/>
        <w:jc w:val="left"/>
        <w:rPr>
          <w:rFonts w:ascii="Times New Roman" w:hAnsi="Times New Roman" w:eastAsia="宋体"/>
          <w:color w:val="auto"/>
        </w:rPr>
      </w:pPr>
      <w:r>
        <w:rPr>
          <w:rFonts w:ascii="Times New Roman" w:hAnsi="Times New Roman" w:eastAsia="宋体"/>
          <w:b/>
          <w:color w:val="auto"/>
          <w:sz w:val="15"/>
          <w:szCs w:val="15"/>
        </w:rPr>
        <w:t>注</w:t>
      </w:r>
      <w:r>
        <w:rPr>
          <w:rFonts w:ascii="Times New Roman" w:hAnsi="Times New Roman" w:eastAsia="宋体"/>
          <w:color w:val="auto"/>
          <w:sz w:val="15"/>
          <w:szCs w:val="15"/>
        </w:rPr>
        <w:t>：1、</w:t>
      </w:r>
      <w:r>
        <w:rPr>
          <w:rFonts w:ascii="Times New Roman" w:hAnsi="Times New Roman" w:eastAsia="宋体"/>
          <w:color w:val="auto"/>
          <w:spacing w:val="-4"/>
          <w:sz w:val="15"/>
          <w:szCs w:val="15"/>
        </w:rPr>
        <w:t>排放增减量：（+）表示增加，（-）表示减少。2、(12)=(6)-(8)-(11)，（9）= (4)-(5)-(8)- (11) +（1）。3、计量单位：废水排放量——万吨/年；废气排放量——万标立方米/年；工业固体废物排放</w:t>
      </w:r>
      <w:r>
        <w:rPr>
          <w:rFonts w:ascii="Times New Roman" w:hAnsi="Times New Roman" w:eastAsia="宋体"/>
          <w:color w:val="auto"/>
          <w:sz w:val="15"/>
          <w:szCs w:val="15"/>
        </w:rPr>
        <w:t>量——万吨/年；水污染物排放浓度——毫克/升</w:t>
      </w:r>
      <w:r>
        <w:rPr>
          <w:rFonts w:hint="eastAsia" w:ascii="Times New Roman" w:hAnsi="Times New Roman" w:eastAsia="宋体"/>
          <w:color w:val="auto"/>
          <w:sz w:val="15"/>
          <w:szCs w:val="15"/>
        </w:rPr>
        <w:t>.</w:t>
      </w:r>
    </w:p>
    <w:p>
      <w:pPr>
        <w:pStyle w:val="25"/>
        <w:spacing w:before="0" w:after="0"/>
        <w:jc w:val="left"/>
        <w:rPr>
          <w:rFonts w:ascii="Times New Roman" w:hAnsi="Times New Roman" w:eastAsia="宋体"/>
          <w:color w:val="auto"/>
          <w:sz w:val="21"/>
          <w:szCs w:val="21"/>
        </w:rPr>
        <w:sectPr>
          <w:headerReference r:id="rId8" w:type="default"/>
          <w:pgSz w:w="16838" w:h="11906" w:orient="landscape"/>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spacing w:before="156" w:after="156"/>
        <w:rPr>
          <w:rFonts w:hint="default" w:eastAsia="宋体"/>
          <w:color w:val="auto"/>
          <w:sz w:val="28"/>
          <w:szCs w:val="28"/>
          <w:lang w:val="en-US" w:eastAsia="zh-CN"/>
        </w:rPr>
      </w:pPr>
      <w:bookmarkStart w:id="152" w:name="_Toc101"/>
      <w:r>
        <w:rPr>
          <w:rFonts w:hint="eastAsia" w:ascii="Times New Roman" w:hAnsi="Times New Roman" w:eastAsia="宋体"/>
          <w:color w:val="auto"/>
          <w:sz w:val="28"/>
          <w:szCs w:val="28"/>
        </w:rPr>
        <w:t>附件</w:t>
      </w:r>
      <w:r>
        <w:rPr>
          <w:rFonts w:hint="eastAsia" w:eastAsia="宋体"/>
          <w:color w:val="auto"/>
          <w:sz w:val="28"/>
          <w:szCs w:val="28"/>
          <w:lang w:val="en-US" w:eastAsia="zh-CN"/>
        </w:rPr>
        <w:t>1租房协议</w:t>
      </w:r>
      <w:bookmarkEnd w:id="152"/>
    </w:p>
    <w:p>
      <w:pPr>
        <w:rPr>
          <w:rFonts w:hint="eastAsia"/>
          <w:lang w:val="en-US" w:eastAsia="zh-CN"/>
        </w:rPr>
      </w:pPr>
      <w:r>
        <w:rPr>
          <w:rFonts w:hint="eastAsia"/>
          <w:lang w:val="en-US" w:eastAsia="zh-CN"/>
        </w:rPr>
        <w:drawing>
          <wp:inline distT="0" distB="0" distL="114300" distR="114300">
            <wp:extent cx="5822315" cy="7763510"/>
            <wp:effectExtent l="0" t="0" r="6985" b="8890"/>
            <wp:docPr id="60" name="图片 60" descr="fa8c442b2c1ed65ad52a38d0a9a4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a8c442b2c1ed65ad52a38d0a9a4c8a"/>
                    <pic:cNvPicPr>
                      <a:picLocks noChangeAspect="1"/>
                    </pic:cNvPicPr>
                  </pic:nvPicPr>
                  <pic:blipFill>
                    <a:blip r:embed="rId28"/>
                    <a:stretch>
                      <a:fillRect/>
                    </a:stretch>
                  </pic:blipFill>
                  <pic:spPr>
                    <a:xfrm>
                      <a:off x="0" y="0"/>
                      <a:ext cx="5822315" cy="7763510"/>
                    </a:xfrm>
                    <a:prstGeom prst="rect">
                      <a:avLst/>
                    </a:prstGeom>
                  </pic:spPr>
                </pic:pic>
              </a:graphicData>
            </a:graphic>
          </wp:inline>
        </w:drawing>
      </w:r>
    </w:p>
    <w:p>
      <w:pPr>
        <w:rPr>
          <w:rFonts w:hint="default"/>
          <w:lang w:val="en-US" w:eastAsia="zh-CN"/>
        </w:rPr>
      </w:pPr>
    </w:p>
    <w:p>
      <w:pPr>
        <w:spacing w:line="360" w:lineRule="auto"/>
        <w:jc w:val="center"/>
        <w:rPr>
          <w:rFonts w:hint="eastAsia" w:ascii="Times New Roman" w:hAnsi="Times New Roman" w:eastAsia="宋体" w:cs="宋体"/>
          <w:color w:val="auto"/>
          <w:sz w:val="30"/>
          <w:szCs w:val="30"/>
          <w:lang w:eastAsia="zh-CN"/>
        </w:rPr>
      </w:pPr>
      <w:r>
        <w:rPr>
          <w:rFonts w:hint="eastAsia" w:ascii="Times New Roman" w:hAnsi="Times New Roman" w:eastAsia="宋体" w:cs="宋体"/>
          <w:color w:val="auto"/>
          <w:sz w:val="30"/>
          <w:szCs w:val="30"/>
          <w:lang w:eastAsia="zh-CN"/>
        </w:rPr>
        <w:drawing>
          <wp:inline distT="0" distB="0" distL="114300" distR="114300">
            <wp:extent cx="5822315" cy="7763510"/>
            <wp:effectExtent l="0" t="0" r="6985" b="8890"/>
            <wp:docPr id="61" name="图片 61" descr="a7a8962334a8e7a35d0800c1f45f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a7a8962334a8e7a35d0800c1f45f73e"/>
                    <pic:cNvPicPr>
                      <a:picLocks noChangeAspect="1"/>
                    </pic:cNvPicPr>
                  </pic:nvPicPr>
                  <pic:blipFill>
                    <a:blip r:embed="rId29"/>
                    <a:stretch>
                      <a:fillRect/>
                    </a:stretch>
                  </pic:blipFill>
                  <pic:spPr>
                    <a:xfrm>
                      <a:off x="0" y="0"/>
                      <a:ext cx="5822315" cy="7763510"/>
                    </a:xfrm>
                    <a:prstGeom prst="rect">
                      <a:avLst/>
                    </a:prstGeom>
                  </pic:spPr>
                </pic:pic>
              </a:graphicData>
            </a:graphic>
          </wp:inline>
        </w:drawing>
      </w:r>
    </w:p>
    <w:p>
      <w:pPr>
        <w:pStyle w:val="28"/>
        <w:rPr>
          <w:rFonts w:hint="eastAsia"/>
          <w:lang w:eastAsia="zh-CN"/>
        </w:rPr>
      </w:pPr>
      <w:r>
        <w:rPr>
          <w:rFonts w:hint="eastAsia"/>
          <w:lang w:eastAsia="zh-CN"/>
        </w:rPr>
        <w:drawing>
          <wp:inline distT="0" distB="0" distL="114300" distR="114300">
            <wp:extent cx="5822315" cy="7763510"/>
            <wp:effectExtent l="0" t="0" r="6985" b="8890"/>
            <wp:docPr id="63" name="图片 63" descr="9488065cba716d1205ce41ea02f4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9488065cba716d1205ce41ea02f4e74"/>
                    <pic:cNvPicPr>
                      <a:picLocks noChangeAspect="1"/>
                    </pic:cNvPicPr>
                  </pic:nvPicPr>
                  <pic:blipFill>
                    <a:blip r:embed="rId30"/>
                    <a:stretch>
                      <a:fillRect/>
                    </a:stretch>
                  </pic:blipFill>
                  <pic:spPr>
                    <a:xfrm>
                      <a:off x="0" y="0"/>
                      <a:ext cx="5822315" cy="7763510"/>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822315" cy="7763510"/>
            <wp:effectExtent l="0" t="0" r="6985" b="8890"/>
            <wp:docPr id="64" name="图片 64" descr="def047e20ec2bd3822143a18184c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ef047e20ec2bd3822143a18184c466"/>
                    <pic:cNvPicPr>
                      <a:picLocks noChangeAspect="1"/>
                    </pic:cNvPicPr>
                  </pic:nvPicPr>
                  <pic:blipFill>
                    <a:blip r:embed="rId31"/>
                    <a:stretch>
                      <a:fillRect/>
                    </a:stretch>
                  </pic:blipFill>
                  <pic:spPr>
                    <a:xfrm>
                      <a:off x="0" y="0"/>
                      <a:ext cx="5822315" cy="7763510"/>
                    </a:xfrm>
                    <a:prstGeom prst="rect">
                      <a:avLst/>
                    </a:prstGeom>
                  </pic:spPr>
                </pic:pic>
              </a:graphicData>
            </a:graphic>
          </wp:inline>
        </w:drawing>
      </w:r>
    </w:p>
    <w:p>
      <w:pPr>
        <w:pStyle w:val="3"/>
        <w:spacing w:before="156" w:after="156"/>
        <w:rPr>
          <w:rFonts w:hint="eastAsia" w:ascii="Times New Roman" w:hAnsi="Times New Roman" w:eastAsia="宋体"/>
          <w:color w:val="auto"/>
          <w:sz w:val="28"/>
          <w:szCs w:val="28"/>
          <w:lang w:val="en-US" w:eastAsia="zh-CN"/>
        </w:rPr>
      </w:pPr>
      <w:bookmarkStart w:id="153" w:name="_Toc5025"/>
      <w:r>
        <w:rPr>
          <w:rFonts w:hint="eastAsia" w:ascii="Times New Roman" w:hAnsi="Times New Roman" w:eastAsia="宋体"/>
          <w:color w:val="auto"/>
          <w:sz w:val="28"/>
          <w:szCs w:val="28"/>
        </w:rPr>
        <w:t>附件2项目环评</w:t>
      </w:r>
      <w:r>
        <w:rPr>
          <w:rFonts w:hint="eastAsia" w:ascii="Times New Roman" w:hAnsi="Times New Roman" w:eastAsia="宋体"/>
          <w:color w:val="auto"/>
          <w:sz w:val="28"/>
          <w:szCs w:val="28"/>
          <w:lang w:eastAsia="zh-CN"/>
        </w:rPr>
        <w:t>批复</w:t>
      </w:r>
      <w:bookmarkEnd w:id="153"/>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4017645" cy="5549900"/>
            <wp:effectExtent l="0" t="0" r="1905" b="12700"/>
            <wp:docPr id="8" name="图片 8" descr="微信图片_2020123022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01230221612"/>
                    <pic:cNvPicPr>
                      <a:picLocks noChangeAspect="1"/>
                    </pic:cNvPicPr>
                  </pic:nvPicPr>
                  <pic:blipFill>
                    <a:blip r:embed="rId32"/>
                    <a:srcRect l="2736" t="16658" b="20640"/>
                    <a:stretch>
                      <a:fillRect/>
                    </a:stretch>
                  </pic:blipFill>
                  <pic:spPr>
                    <a:xfrm>
                      <a:off x="0" y="0"/>
                      <a:ext cx="4017645" cy="5549900"/>
                    </a:xfrm>
                    <a:prstGeom prst="rect">
                      <a:avLst/>
                    </a:prstGeom>
                  </pic:spPr>
                </pic:pic>
              </a:graphicData>
            </a:graphic>
          </wp:inline>
        </w:drawing>
      </w:r>
    </w:p>
    <w:p>
      <w:pPr>
        <w:pStyle w:val="36"/>
        <w:jc w:val="center"/>
        <w:rPr>
          <w:rFonts w:ascii="Times New Roman" w:hAnsi="Times New Roman" w:eastAsia="宋体"/>
          <w:color w:val="auto"/>
        </w:rPr>
        <w:sectPr>
          <w:headerReference r:id="rId9"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Times New Roman" w:hAnsi="Times New Roman" w:eastAsia="宋体"/>
          <w:lang w:eastAsia="zh-CN"/>
        </w:rPr>
        <w:drawing>
          <wp:inline distT="0" distB="0" distL="114300" distR="114300">
            <wp:extent cx="4034790" cy="6760210"/>
            <wp:effectExtent l="0" t="0" r="3810" b="2540"/>
            <wp:docPr id="2" name="图片 2" descr="微信图片_2020123022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1230221618"/>
                    <pic:cNvPicPr>
                      <a:picLocks noChangeAspect="1"/>
                    </pic:cNvPicPr>
                  </pic:nvPicPr>
                  <pic:blipFill>
                    <a:blip r:embed="rId33"/>
                    <a:srcRect l="2321" t="6801" b="16823"/>
                    <a:stretch>
                      <a:fillRect/>
                    </a:stretch>
                  </pic:blipFill>
                  <pic:spPr>
                    <a:xfrm>
                      <a:off x="0" y="0"/>
                      <a:ext cx="4034790" cy="6760210"/>
                    </a:xfrm>
                    <a:prstGeom prst="rect">
                      <a:avLst/>
                    </a:prstGeom>
                  </pic:spPr>
                </pic:pic>
              </a:graphicData>
            </a:graphic>
          </wp:inline>
        </w:drawing>
      </w:r>
      <w:r>
        <w:rPr>
          <w:rFonts w:hint="eastAsia" w:ascii="Times New Roman" w:hAnsi="Times New Roman" w:eastAsia="宋体"/>
          <w:lang w:eastAsia="zh-CN"/>
        </w:rPr>
        <w:drawing>
          <wp:inline distT="0" distB="0" distL="114300" distR="114300">
            <wp:extent cx="4130675" cy="7075805"/>
            <wp:effectExtent l="0" t="0" r="3175" b="10795"/>
            <wp:docPr id="3" name="图片 3" descr="微信图片_2020123022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01230221624"/>
                    <pic:cNvPicPr>
                      <a:picLocks noChangeAspect="1"/>
                    </pic:cNvPicPr>
                  </pic:nvPicPr>
                  <pic:blipFill>
                    <a:blip r:embed="rId34"/>
                    <a:srcRect t="15066" b="4993"/>
                    <a:stretch>
                      <a:fillRect/>
                    </a:stretch>
                  </pic:blipFill>
                  <pic:spPr>
                    <a:xfrm>
                      <a:off x="0" y="0"/>
                      <a:ext cx="4130675" cy="7075805"/>
                    </a:xfrm>
                    <a:prstGeom prst="rect">
                      <a:avLst/>
                    </a:prstGeom>
                  </pic:spPr>
                </pic:pic>
              </a:graphicData>
            </a:graphic>
          </wp:inline>
        </w:drawing>
      </w:r>
    </w:p>
    <w:p>
      <w:pPr>
        <w:spacing w:line="240" w:lineRule="auto"/>
        <w:rPr>
          <w:rFonts w:hint="eastAsia"/>
          <w:b/>
          <w:bCs/>
          <w:sz w:val="30"/>
          <w:szCs w:val="30"/>
          <w:lang w:val="en-US" w:eastAsia="zh-CN"/>
        </w:rPr>
      </w:pPr>
      <w:r>
        <w:rPr>
          <w:rFonts w:hint="eastAsia"/>
          <w:b/>
          <w:bCs/>
          <w:sz w:val="30"/>
          <w:szCs w:val="30"/>
          <w:lang w:val="en-US" w:eastAsia="zh-CN"/>
        </w:rPr>
        <w:t>附图3 监测报告</w:t>
      </w:r>
    </w:p>
    <w:p>
      <w:pPr>
        <w:spacing w:line="240" w:lineRule="auto"/>
        <w:rPr>
          <w:rFonts w:ascii="Times New Roman" w:hAnsi="Times New Roman" w:eastAsia="宋体"/>
          <w:color w:val="auto"/>
        </w:rPr>
        <w:sectPr>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pPr>
      <w:r>
        <w:drawing>
          <wp:inline distT="0" distB="0" distL="114300" distR="114300">
            <wp:extent cx="5831205" cy="7672705"/>
            <wp:effectExtent l="0" t="0" r="17145" b="444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35"/>
                    <a:stretch>
                      <a:fillRect/>
                    </a:stretch>
                  </pic:blipFill>
                  <pic:spPr>
                    <a:xfrm>
                      <a:off x="0" y="0"/>
                      <a:ext cx="5831205" cy="7672705"/>
                    </a:xfrm>
                    <a:prstGeom prst="rect">
                      <a:avLst/>
                    </a:prstGeom>
                    <a:noFill/>
                    <a:ln>
                      <a:noFill/>
                    </a:ln>
                  </pic:spPr>
                </pic:pic>
              </a:graphicData>
            </a:graphic>
          </wp:inline>
        </w:drawing>
      </w:r>
      <w:r>
        <w:drawing>
          <wp:inline distT="0" distB="0" distL="114300" distR="114300">
            <wp:extent cx="5826760" cy="7463155"/>
            <wp:effectExtent l="0" t="0" r="2540" b="444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6"/>
                    <a:stretch>
                      <a:fillRect/>
                    </a:stretch>
                  </pic:blipFill>
                  <pic:spPr>
                    <a:xfrm>
                      <a:off x="0" y="0"/>
                      <a:ext cx="5826760" cy="7463155"/>
                    </a:xfrm>
                    <a:prstGeom prst="rect">
                      <a:avLst/>
                    </a:prstGeom>
                    <a:noFill/>
                    <a:ln>
                      <a:noFill/>
                    </a:ln>
                  </pic:spPr>
                </pic:pic>
              </a:graphicData>
            </a:graphic>
          </wp:inline>
        </w:drawing>
      </w:r>
      <w:r>
        <w:drawing>
          <wp:inline distT="0" distB="0" distL="114300" distR="114300">
            <wp:extent cx="5827395" cy="7658735"/>
            <wp:effectExtent l="0" t="0" r="1905" b="1841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7"/>
                    <a:stretch>
                      <a:fillRect/>
                    </a:stretch>
                  </pic:blipFill>
                  <pic:spPr>
                    <a:xfrm>
                      <a:off x="0" y="0"/>
                      <a:ext cx="5827395" cy="7658735"/>
                    </a:xfrm>
                    <a:prstGeom prst="rect">
                      <a:avLst/>
                    </a:prstGeom>
                    <a:noFill/>
                    <a:ln>
                      <a:noFill/>
                    </a:ln>
                  </pic:spPr>
                </pic:pic>
              </a:graphicData>
            </a:graphic>
          </wp:inline>
        </w:drawing>
      </w:r>
      <w:r>
        <w:drawing>
          <wp:inline distT="0" distB="0" distL="114300" distR="114300">
            <wp:extent cx="5828030" cy="7599680"/>
            <wp:effectExtent l="0" t="0" r="1270" b="127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38"/>
                    <a:stretch>
                      <a:fillRect/>
                    </a:stretch>
                  </pic:blipFill>
                  <pic:spPr>
                    <a:xfrm>
                      <a:off x="0" y="0"/>
                      <a:ext cx="5828030" cy="7599680"/>
                    </a:xfrm>
                    <a:prstGeom prst="rect">
                      <a:avLst/>
                    </a:prstGeom>
                    <a:noFill/>
                    <a:ln>
                      <a:noFill/>
                    </a:ln>
                  </pic:spPr>
                </pic:pic>
              </a:graphicData>
            </a:graphic>
          </wp:inline>
        </w:drawing>
      </w:r>
      <w:r>
        <w:drawing>
          <wp:inline distT="0" distB="0" distL="114300" distR="114300">
            <wp:extent cx="5827395" cy="7560945"/>
            <wp:effectExtent l="0" t="0" r="1905" b="190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39"/>
                    <a:stretch>
                      <a:fillRect/>
                    </a:stretch>
                  </pic:blipFill>
                  <pic:spPr>
                    <a:xfrm>
                      <a:off x="0" y="0"/>
                      <a:ext cx="5827395" cy="7560945"/>
                    </a:xfrm>
                    <a:prstGeom prst="rect">
                      <a:avLst/>
                    </a:prstGeom>
                    <a:noFill/>
                    <a:ln>
                      <a:noFill/>
                    </a:ln>
                  </pic:spPr>
                </pic:pic>
              </a:graphicData>
            </a:graphic>
          </wp:inline>
        </w:drawing>
      </w:r>
      <w:r>
        <w:drawing>
          <wp:inline distT="0" distB="0" distL="114300" distR="114300">
            <wp:extent cx="5829300" cy="7286625"/>
            <wp:effectExtent l="0" t="0" r="0" b="952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40"/>
                    <a:stretch>
                      <a:fillRect/>
                    </a:stretch>
                  </pic:blipFill>
                  <pic:spPr>
                    <a:xfrm>
                      <a:off x="0" y="0"/>
                      <a:ext cx="5829300" cy="7286625"/>
                    </a:xfrm>
                    <a:prstGeom prst="rect">
                      <a:avLst/>
                    </a:prstGeom>
                    <a:noFill/>
                    <a:ln>
                      <a:noFill/>
                    </a:ln>
                  </pic:spPr>
                </pic:pic>
              </a:graphicData>
            </a:graphic>
          </wp:inline>
        </w:drawing>
      </w:r>
      <w:r>
        <w:drawing>
          <wp:inline distT="0" distB="0" distL="114300" distR="114300">
            <wp:extent cx="5831205" cy="7118350"/>
            <wp:effectExtent l="0" t="0" r="17145" b="6350"/>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41"/>
                    <a:stretch>
                      <a:fillRect/>
                    </a:stretch>
                  </pic:blipFill>
                  <pic:spPr>
                    <a:xfrm>
                      <a:off x="0" y="0"/>
                      <a:ext cx="5831205" cy="7118350"/>
                    </a:xfrm>
                    <a:prstGeom prst="rect">
                      <a:avLst/>
                    </a:prstGeom>
                    <a:noFill/>
                    <a:ln>
                      <a:noFill/>
                    </a:ln>
                  </pic:spPr>
                </pic:pic>
              </a:graphicData>
            </a:graphic>
          </wp:inline>
        </w:drawing>
      </w:r>
      <w:r>
        <w:drawing>
          <wp:inline distT="0" distB="0" distL="114300" distR="114300">
            <wp:extent cx="5829935" cy="6860540"/>
            <wp:effectExtent l="0" t="0" r="18415" b="16510"/>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42"/>
                    <a:stretch>
                      <a:fillRect/>
                    </a:stretch>
                  </pic:blipFill>
                  <pic:spPr>
                    <a:xfrm>
                      <a:off x="0" y="0"/>
                      <a:ext cx="5829935" cy="6860540"/>
                    </a:xfrm>
                    <a:prstGeom prst="rect">
                      <a:avLst/>
                    </a:prstGeom>
                    <a:noFill/>
                    <a:ln>
                      <a:noFill/>
                    </a:ln>
                  </pic:spPr>
                </pic:pic>
              </a:graphicData>
            </a:graphic>
          </wp:inline>
        </w:drawing>
      </w:r>
      <w:r>
        <w:drawing>
          <wp:inline distT="0" distB="0" distL="114300" distR="114300">
            <wp:extent cx="5827395" cy="7597775"/>
            <wp:effectExtent l="0" t="0" r="1905" b="317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43"/>
                    <a:stretch>
                      <a:fillRect/>
                    </a:stretch>
                  </pic:blipFill>
                  <pic:spPr>
                    <a:xfrm>
                      <a:off x="0" y="0"/>
                      <a:ext cx="5827395" cy="7597775"/>
                    </a:xfrm>
                    <a:prstGeom prst="rect">
                      <a:avLst/>
                    </a:prstGeom>
                    <a:noFill/>
                    <a:ln>
                      <a:noFill/>
                    </a:ln>
                  </pic:spPr>
                </pic:pic>
              </a:graphicData>
            </a:graphic>
          </wp:inline>
        </w:drawing>
      </w:r>
      <w:r>
        <w:drawing>
          <wp:inline distT="0" distB="0" distL="114300" distR="114300">
            <wp:extent cx="5831205" cy="7458075"/>
            <wp:effectExtent l="0" t="0" r="17145" b="952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44"/>
                    <a:stretch>
                      <a:fillRect/>
                    </a:stretch>
                  </pic:blipFill>
                  <pic:spPr>
                    <a:xfrm>
                      <a:off x="0" y="0"/>
                      <a:ext cx="5831205" cy="7458075"/>
                    </a:xfrm>
                    <a:prstGeom prst="rect">
                      <a:avLst/>
                    </a:prstGeom>
                    <a:noFill/>
                    <a:ln>
                      <a:noFill/>
                    </a:ln>
                  </pic:spPr>
                </pic:pic>
              </a:graphicData>
            </a:graphic>
          </wp:inline>
        </w:drawing>
      </w:r>
      <w:r>
        <w:drawing>
          <wp:inline distT="0" distB="0" distL="114300" distR="114300">
            <wp:extent cx="5826760" cy="7467600"/>
            <wp:effectExtent l="0" t="0" r="2540" b="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45"/>
                    <a:stretch>
                      <a:fillRect/>
                    </a:stretch>
                  </pic:blipFill>
                  <pic:spPr>
                    <a:xfrm>
                      <a:off x="0" y="0"/>
                      <a:ext cx="5826760" cy="7467600"/>
                    </a:xfrm>
                    <a:prstGeom prst="rect">
                      <a:avLst/>
                    </a:prstGeom>
                    <a:noFill/>
                    <a:ln>
                      <a:noFill/>
                    </a:ln>
                  </pic:spPr>
                </pic:pic>
              </a:graphicData>
            </a:graphic>
          </wp:inline>
        </w:drawing>
      </w:r>
    </w:p>
    <w:p>
      <w:pPr>
        <w:pStyle w:val="3"/>
        <w:spacing w:before="156" w:after="156"/>
        <w:rPr>
          <w:rFonts w:hint="eastAsia" w:ascii="Times New Roman" w:hAnsi="Times New Roman" w:eastAsia="宋体"/>
          <w:color w:val="auto"/>
          <w:sz w:val="28"/>
          <w:szCs w:val="28"/>
          <w:lang w:eastAsia="zh-CN"/>
        </w:rPr>
      </w:pPr>
      <w:r>
        <w:rPr>
          <w:rFonts w:hint="eastAsia"/>
          <w:lang w:val="en-US" w:eastAsia="zh-CN"/>
        </w:rPr>
        <w:t xml:space="preserve">  </w:t>
      </w:r>
      <w:bookmarkStart w:id="154" w:name="_Toc7233"/>
      <w:r>
        <w:rPr>
          <w:rFonts w:hint="eastAsia" w:ascii="Times New Roman" w:hAnsi="Times New Roman" w:eastAsia="宋体"/>
          <w:color w:val="auto"/>
          <w:sz w:val="28"/>
          <w:szCs w:val="28"/>
        </w:rPr>
        <w:t>附件</w:t>
      </w:r>
      <w:r>
        <w:rPr>
          <w:rFonts w:hint="eastAsia" w:ascii="Times New Roman" w:hAnsi="Times New Roman" w:eastAsia="宋体"/>
          <w:color w:val="auto"/>
          <w:sz w:val="28"/>
          <w:szCs w:val="28"/>
          <w:lang w:val="en-US" w:eastAsia="zh-CN"/>
        </w:rPr>
        <w:t>4</w:t>
      </w:r>
      <w:r>
        <w:rPr>
          <w:rFonts w:hint="eastAsia" w:ascii="Times New Roman" w:hAnsi="Times New Roman" w:eastAsia="宋体"/>
          <w:color w:val="auto"/>
          <w:sz w:val="28"/>
          <w:szCs w:val="28"/>
          <w:lang w:eastAsia="zh-CN"/>
        </w:rPr>
        <w:t>危废协议</w:t>
      </w:r>
      <w:bookmarkEnd w:id="154"/>
    </w:p>
    <w:p>
      <w:pPr>
        <w:keepNext/>
        <w:keepLines/>
        <w:pageBreakBefore w:val="0"/>
        <w:widowControl w:val="0"/>
        <w:kinsoku/>
        <w:wordWrap/>
        <w:overflowPunct/>
        <w:topLinePunct w:val="0"/>
        <w:autoSpaceDE/>
        <w:autoSpaceDN/>
        <w:bidi w:val="0"/>
        <w:adjustRightInd/>
        <w:snapToGrid/>
        <w:spacing w:line="377" w:lineRule="auto"/>
        <w:jc w:val="center"/>
        <w:textAlignment w:val="auto"/>
        <w:outlineLvl w:val="9"/>
        <w:rPr>
          <w:rFonts w:hint="eastAsia" w:ascii="Times New Roman" w:hAnsi="Times New Roman" w:eastAsia="宋体"/>
          <w:color w:val="auto"/>
          <w:lang w:eastAsia="zh-CN"/>
        </w:rPr>
      </w:pPr>
      <w:r>
        <w:rPr>
          <w:rFonts w:hint="eastAsia" w:ascii="Times New Roman" w:hAnsi="Times New Roman" w:eastAsia="宋体"/>
          <w:color w:val="auto"/>
          <w:lang w:eastAsia="zh-CN"/>
        </w:rPr>
        <w:drawing>
          <wp:inline distT="0" distB="0" distL="114300" distR="114300">
            <wp:extent cx="3524250" cy="4876800"/>
            <wp:effectExtent l="0" t="0" r="0" b="0"/>
            <wp:docPr id="9" name="图片 9" descr="微信图片_2020123110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01231103303"/>
                    <pic:cNvPicPr>
                      <a:picLocks noChangeAspect="1"/>
                    </pic:cNvPicPr>
                  </pic:nvPicPr>
                  <pic:blipFill>
                    <a:blip r:embed="rId46"/>
                    <a:srcRect t="19375" b="16625"/>
                    <a:stretch>
                      <a:fillRect/>
                    </a:stretch>
                  </pic:blipFill>
                  <pic:spPr>
                    <a:xfrm>
                      <a:off x="0" y="0"/>
                      <a:ext cx="3524250" cy="48768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lang w:eastAsia="zh-CN"/>
        </w:rPr>
      </w:pPr>
      <w:r>
        <w:rPr>
          <w:rFonts w:hint="eastAsia" w:ascii="Times New Roman" w:hAnsi="Times New Roman" w:eastAsia="宋体"/>
          <w:color w:val="auto"/>
          <w:lang w:eastAsia="zh-CN"/>
        </w:rPr>
        <w:drawing>
          <wp:inline distT="0" distB="0" distL="114300" distR="114300">
            <wp:extent cx="3524250" cy="4718050"/>
            <wp:effectExtent l="0" t="0" r="0" b="6350"/>
            <wp:docPr id="10" name="图片 10" descr="微信图片_2020123110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01231103308"/>
                    <pic:cNvPicPr>
                      <a:picLocks noChangeAspect="1"/>
                    </pic:cNvPicPr>
                  </pic:nvPicPr>
                  <pic:blipFill>
                    <a:blip r:embed="rId47"/>
                    <a:srcRect t="15875" b="22208"/>
                    <a:stretch>
                      <a:fillRect/>
                    </a:stretch>
                  </pic:blipFill>
                  <pic:spPr>
                    <a:xfrm>
                      <a:off x="0" y="0"/>
                      <a:ext cx="3524250" cy="471805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3524250" cy="5175250"/>
            <wp:effectExtent l="0" t="0" r="0" b="6350"/>
            <wp:docPr id="11" name="图片 11" descr="微信图片_2020123110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01231103315"/>
                    <pic:cNvPicPr>
                      <a:picLocks noChangeAspect="1"/>
                    </pic:cNvPicPr>
                  </pic:nvPicPr>
                  <pic:blipFill>
                    <a:blip r:embed="rId48"/>
                    <a:srcRect t="13250" b="18833"/>
                    <a:stretch>
                      <a:fillRect/>
                    </a:stretch>
                  </pic:blipFill>
                  <pic:spPr>
                    <a:xfrm>
                      <a:off x="0" y="0"/>
                      <a:ext cx="3524250" cy="517525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3524250" cy="5153025"/>
            <wp:effectExtent l="0" t="0" r="0" b="9525"/>
            <wp:docPr id="12" name="图片 12" descr="微信图片_2020123110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01231103325"/>
                    <pic:cNvPicPr>
                      <a:picLocks noChangeAspect="1"/>
                    </pic:cNvPicPr>
                  </pic:nvPicPr>
                  <pic:blipFill>
                    <a:blip r:embed="rId49"/>
                    <a:srcRect t="12500" b="19875"/>
                    <a:stretch>
                      <a:fillRect/>
                    </a:stretch>
                  </pic:blipFill>
                  <pic:spPr>
                    <a:xfrm>
                      <a:off x="0" y="0"/>
                      <a:ext cx="3524250" cy="5153025"/>
                    </a:xfrm>
                    <a:prstGeom prst="rect">
                      <a:avLst/>
                    </a:prstGeom>
                  </pic:spPr>
                </pic:pic>
              </a:graphicData>
            </a:graphic>
          </wp:inline>
        </w:drawing>
      </w:r>
      <w:r>
        <w:rPr>
          <w:rFonts w:hint="eastAsia" w:ascii="Times New Roman" w:hAnsi="Times New Roman" w:eastAsia="宋体"/>
          <w:lang w:eastAsia="zh-CN"/>
        </w:rPr>
        <w:drawing>
          <wp:inline distT="0" distB="0" distL="114300" distR="114300">
            <wp:extent cx="3524250" cy="4953000"/>
            <wp:effectExtent l="0" t="0" r="0" b="0"/>
            <wp:docPr id="15" name="图片 15" descr="微信图片_2020123110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01231103329"/>
                    <pic:cNvPicPr>
                      <a:picLocks noChangeAspect="1"/>
                    </pic:cNvPicPr>
                  </pic:nvPicPr>
                  <pic:blipFill>
                    <a:blip r:embed="rId50"/>
                    <a:srcRect t="13625" b="21375"/>
                    <a:stretch>
                      <a:fillRect/>
                    </a:stretch>
                  </pic:blipFill>
                  <pic:spPr>
                    <a:xfrm>
                      <a:off x="0" y="0"/>
                      <a:ext cx="3524250" cy="4953000"/>
                    </a:xfrm>
                    <a:prstGeom prst="rect">
                      <a:avLst/>
                    </a:prstGeom>
                  </pic:spPr>
                </pic:pic>
              </a:graphicData>
            </a:graphic>
          </wp:inline>
        </w:drawing>
      </w:r>
    </w:p>
    <w:p>
      <w:pPr>
        <w:pStyle w:val="36"/>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3524250" cy="5153025"/>
            <wp:effectExtent l="0" t="0" r="0" b="9525"/>
            <wp:docPr id="16" name="图片 16" descr="微信图片_2020123110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01231103334"/>
                    <pic:cNvPicPr>
                      <a:picLocks noChangeAspect="1"/>
                    </pic:cNvPicPr>
                  </pic:nvPicPr>
                  <pic:blipFill>
                    <a:blip r:embed="rId51"/>
                    <a:srcRect t="11209" b="20655"/>
                    <a:stretch>
                      <a:fillRect/>
                    </a:stretch>
                  </pic:blipFill>
                  <pic:spPr>
                    <a:xfrm>
                      <a:off x="0" y="0"/>
                      <a:ext cx="3524250" cy="5153025"/>
                    </a:xfrm>
                    <a:prstGeom prst="rect">
                      <a:avLst/>
                    </a:prstGeom>
                  </pic:spPr>
                </pic:pic>
              </a:graphicData>
            </a:graphic>
          </wp:inline>
        </w:drawing>
      </w:r>
    </w:p>
    <w:p>
      <w:pPr>
        <w:pStyle w:val="36"/>
        <w:tabs>
          <w:tab w:val="center" w:pos="4592"/>
          <w:tab w:val="left" w:pos="8001"/>
          <w:tab w:val="right" w:pos="9184"/>
        </w:tabs>
        <w:jc w:val="left"/>
        <w:rPr>
          <w:rFonts w:hint="eastAsia" w:ascii="Times New Roman" w:hAnsi="Times New Roman" w:eastAsia="宋体"/>
          <w:lang w:eastAsia="zh-CN"/>
        </w:rPr>
      </w:pPr>
      <w:r>
        <w:rPr>
          <w:rFonts w:hint="eastAsia" w:ascii="Times New Roman" w:hAnsi="Times New Roman" w:eastAsia="宋体"/>
          <w:lang w:eastAsia="zh-CN"/>
        </w:rPr>
        <w:tab/>
      </w:r>
      <w:r>
        <w:rPr>
          <w:rFonts w:hint="eastAsia" w:ascii="Times New Roman" w:hAnsi="Times New Roman" w:eastAsia="宋体"/>
          <w:lang w:eastAsia="zh-CN"/>
        </w:rPr>
        <w:drawing>
          <wp:inline distT="0" distB="0" distL="114300" distR="114300">
            <wp:extent cx="3524250" cy="5286375"/>
            <wp:effectExtent l="0" t="0" r="0" b="9525"/>
            <wp:docPr id="19" name="图片 19" descr="微信图片_2020123110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01231103337"/>
                    <pic:cNvPicPr>
                      <a:picLocks noChangeAspect="1"/>
                    </pic:cNvPicPr>
                  </pic:nvPicPr>
                  <pic:blipFill>
                    <a:blip r:embed="rId52"/>
                    <a:srcRect t="11000" b="19625"/>
                    <a:stretch>
                      <a:fillRect/>
                    </a:stretch>
                  </pic:blipFill>
                  <pic:spPr>
                    <a:xfrm>
                      <a:off x="0" y="0"/>
                      <a:ext cx="3524250" cy="5286375"/>
                    </a:xfrm>
                    <a:prstGeom prst="rect">
                      <a:avLst/>
                    </a:prstGeom>
                  </pic:spPr>
                </pic:pic>
              </a:graphicData>
            </a:graphic>
          </wp:inline>
        </w:drawing>
      </w:r>
      <w:r>
        <w:rPr>
          <w:rFonts w:hint="eastAsia" w:ascii="Times New Roman" w:hAnsi="Times New Roman" w:eastAsia="宋体"/>
          <w:lang w:eastAsia="zh-CN"/>
        </w:rPr>
        <w:tab/>
      </w: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tabs>
          <w:tab w:val="center" w:pos="4592"/>
          <w:tab w:val="left" w:pos="8001"/>
          <w:tab w:val="right" w:pos="9184"/>
        </w:tabs>
        <w:jc w:val="left"/>
        <w:rPr>
          <w:rFonts w:hint="eastAsia" w:ascii="Times New Roman" w:hAnsi="Times New Roman" w:eastAsia="宋体"/>
          <w:lang w:eastAsia="zh-CN"/>
        </w:rPr>
      </w:pPr>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left"/>
        <w:textAlignment w:val="auto"/>
        <w:outlineLvl w:val="0"/>
        <w:rPr>
          <w:rFonts w:hint="default" w:ascii="宋体" w:hAnsi="宋体" w:eastAsia="宋体" w:cs="宋体"/>
          <w:b/>
          <w:bCs/>
          <w:sz w:val="28"/>
          <w:szCs w:val="28"/>
          <w:lang w:val="en-US" w:eastAsia="zh-CN"/>
        </w:rPr>
      </w:pPr>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center"/>
        <w:textAlignment w:val="auto"/>
      </w:pPr>
    </w:p>
    <w:p>
      <w:pPr>
        <w:bidi w:val="0"/>
        <w:rPr>
          <w:rFonts w:hint="eastAsia"/>
          <w:lang w:eastAsia="zh-CN"/>
        </w:rPr>
      </w:pPr>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left"/>
        <w:textAlignment w:val="auto"/>
        <w:outlineLvl w:val="0"/>
        <w:rPr>
          <w:rFonts w:hint="default" w:ascii="宋体" w:hAnsi="宋体" w:eastAsia="宋体" w:cs="宋体"/>
          <w:b/>
          <w:bCs/>
          <w:sz w:val="28"/>
          <w:szCs w:val="28"/>
          <w:lang w:val="en-US" w:eastAsia="zh-CN"/>
        </w:rPr>
      </w:pPr>
      <w:bookmarkStart w:id="155" w:name="_Toc2903"/>
      <w:r>
        <w:rPr>
          <w:rFonts w:hint="eastAsia" w:ascii="Times New Roman" w:hAnsi="Times New Roman" w:eastAsia="宋体"/>
          <w:b/>
          <w:bCs/>
          <w:sz w:val="28"/>
          <w:szCs w:val="28"/>
          <w:lang w:eastAsia="zh-CN"/>
        </w:rPr>
        <w:t>附件</w:t>
      </w:r>
      <w:r>
        <w:rPr>
          <w:rFonts w:hint="eastAsia" w:ascii="Times New Roman" w:hAnsi="Times New Roman"/>
          <w:b/>
          <w:bCs/>
          <w:sz w:val="28"/>
          <w:szCs w:val="28"/>
          <w:lang w:val="en-US" w:eastAsia="zh-CN"/>
        </w:rPr>
        <w:t>5活性炭发票</w:t>
      </w:r>
      <w:bookmarkEnd w:id="155"/>
    </w:p>
    <w:p>
      <w:pPr>
        <w:pStyle w:val="36"/>
        <w:keepNext w:val="0"/>
        <w:keepLines w:val="0"/>
        <w:pageBreakBefore w:val="0"/>
        <w:widowControl w:val="0"/>
        <w:tabs>
          <w:tab w:val="center" w:pos="4592"/>
          <w:tab w:val="left" w:pos="8001"/>
          <w:tab w:val="right" w:pos="9184"/>
        </w:tabs>
        <w:kinsoku/>
        <w:wordWrap/>
        <w:overflowPunct/>
        <w:topLinePunct w:val="0"/>
        <w:autoSpaceDE w:val="0"/>
        <w:autoSpaceDN w:val="0"/>
        <w:bidi w:val="0"/>
        <w:adjustRightInd w:val="0"/>
        <w:snapToGrid/>
        <w:jc w:val="left"/>
        <w:textAlignment w:val="auto"/>
        <w:outlineLvl w:val="0"/>
        <w:rPr>
          <w:rFonts w:hint="default" w:ascii="宋体" w:hAnsi="宋体" w:eastAsia="宋体" w:cs="宋体"/>
          <w:b/>
          <w:bCs/>
          <w:sz w:val="28"/>
          <w:szCs w:val="28"/>
          <w:lang w:val="en-US" w:eastAsia="zh-CN"/>
        </w:rPr>
      </w:pPr>
      <w:bookmarkStart w:id="156" w:name="_Toc29540"/>
      <w:r>
        <w:drawing>
          <wp:inline distT="0" distB="0" distL="114300" distR="114300">
            <wp:extent cx="5824220" cy="3118485"/>
            <wp:effectExtent l="0" t="0" r="5080" b="571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53"/>
                    <a:stretch>
                      <a:fillRect/>
                    </a:stretch>
                  </pic:blipFill>
                  <pic:spPr>
                    <a:xfrm>
                      <a:off x="0" y="0"/>
                      <a:ext cx="5824220" cy="3118485"/>
                    </a:xfrm>
                    <a:prstGeom prst="rect">
                      <a:avLst/>
                    </a:prstGeom>
                    <a:noFill/>
                    <a:ln>
                      <a:noFill/>
                    </a:ln>
                  </pic:spPr>
                </pic:pic>
              </a:graphicData>
            </a:graphic>
          </wp:inline>
        </w:drawing>
      </w:r>
      <w:bookmarkEnd w:id="156"/>
    </w:p>
    <w:p>
      <w:pPr>
        <w:bidi w:val="0"/>
        <w:jc w:val="left"/>
        <w:rPr>
          <w:rFonts w:hint="default" w:ascii="Times New Roman" w:hAnsi="Times New Roman" w:eastAsia="宋体"/>
          <w:b/>
          <w:bCs/>
          <w:sz w:val="28"/>
          <w:szCs w:val="28"/>
          <w:lang w:val="en-US" w:eastAsia="zh-CN"/>
        </w:rPr>
      </w:pPr>
      <w:r>
        <w:rPr>
          <w:rFonts w:hint="eastAsia" w:ascii="Times New Roman" w:hAnsi="Times New Roman" w:eastAsia="宋体"/>
          <w:b/>
          <w:bCs/>
          <w:sz w:val="28"/>
          <w:szCs w:val="28"/>
          <w:lang w:val="en-US" w:eastAsia="zh-CN"/>
        </w:rPr>
        <w:t>附件6厂区整改照片</w:t>
      </w:r>
    </w:p>
    <w:p>
      <w:pPr>
        <w:pStyle w:val="28"/>
        <w:ind w:left="0" w:leftChars="0" w:firstLine="0" w:firstLineChars="0"/>
        <w:rPr>
          <w:rFonts w:hint="default"/>
          <w:b/>
          <w:bCs/>
          <w:sz w:val="28"/>
          <w:szCs w:val="28"/>
          <w:lang w:val="en-US" w:eastAsia="zh-CN"/>
        </w:rPr>
      </w:pPr>
      <w:r>
        <w:rPr>
          <w:rFonts w:hint="default"/>
          <w:b/>
          <w:bCs/>
          <w:sz w:val="28"/>
          <w:szCs w:val="28"/>
          <w:lang w:val="en-US" w:eastAsia="zh-CN"/>
        </w:rPr>
        <w:drawing>
          <wp:inline distT="0" distB="0" distL="114300" distR="114300">
            <wp:extent cx="5804535" cy="3632200"/>
            <wp:effectExtent l="0" t="0" r="5715" b="6350"/>
            <wp:docPr id="1" name="图片 1" descr="f722d9f1aaeb6ef81b19fc4bc87da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722d9f1aaeb6ef81b19fc4bc87da4d"/>
                    <pic:cNvPicPr>
                      <a:picLocks noChangeAspect="1"/>
                    </pic:cNvPicPr>
                  </pic:nvPicPr>
                  <pic:blipFill>
                    <a:blip r:embed="rId54"/>
                    <a:stretch>
                      <a:fillRect/>
                    </a:stretch>
                  </pic:blipFill>
                  <pic:spPr>
                    <a:xfrm>
                      <a:off x="0" y="0"/>
                      <a:ext cx="5804535" cy="3632200"/>
                    </a:xfrm>
                    <a:prstGeom prst="rect">
                      <a:avLst/>
                    </a:prstGeom>
                  </pic:spPr>
                </pic:pic>
              </a:graphicData>
            </a:graphic>
          </wp:inline>
        </w:drawing>
      </w:r>
    </w:p>
    <w:p>
      <w:pPr>
        <w:rPr>
          <w:rFonts w:hint="eastAsia"/>
          <w:b/>
          <w:bCs/>
          <w:sz w:val="24"/>
          <w:szCs w:val="24"/>
          <w:lang w:val="en-US" w:eastAsia="zh-CN"/>
        </w:rPr>
      </w:pPr>
      <w:r>
        <w:rPr>
          <w:rFonts w:hint="eastAsia"/>
          <w:b/>
          <w:bCs/>
          <w:sz w:val="24"/>
          <w:szCs w:val="24"/>
          <w:lang w:val="en-US" w:eastAsia="zh-CN"/>
        </w:rPr>
        <w:t>图6-1生活污水处理设施</w:t>
      </w:r>
    </w:p>
    <w:p>
      <w:pPr>
        <w:pStyle w:val="2"/>
        <w:rPr>
          <w:rFonts w:hint="default"/>
          <w:lang w:val="en-US" w:eastAsia="zh-CN"/>
        </w:rPr>
      </w:pPr>
      <w:r>
        <w:rPr>
          <w:rFonts w:hint="default"/>
          <w:lang w:val="en-US" w:eastAsia="zh-CN"/>
        </w:rPr>
        <w:drawing>
          <wp:inline distT="0" distB="0" distL="114300" distR="114300">
            <wp:extent cx="5822950" cy="6037580"/>
            <wp:effectExtent l="0" t="0" r="6350" b="1270"/>
            <wp:docPr id="25" name="图片 25" descr="4e209274a11d17e5faca41d4b44b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e209274a11d17e5faca41d4b44b632"/>
                    <pic:cNvPicPr>
                      <a:picLocks noChangeAspect="1"/>
                    </pic:cNvPicPr>
                  </pic:nvPicPr>
                  <pic:blipFill>
                    <a:blip r:embed="rId55"/>
                    <a:stretch>
                      <a:fillRect/>
                    </a:stretch>
                  </pic:blipFill>
                  <pic:spPr>
                    <a:xfrm>
                      <a:off x="0" y="0"/>
                      <a:ext cx="5822950" cy="6037580"/>
                    </a:xfrm>
                    <a:prstGeom prst="rect">
                      <a:avLst/>
                    </a:prstGeom>
                  </pic:spPr>
                </pic:pic>
              </a:graphicData>
            </a:graphic>
          </wp:inline>
        </w:drawing>
      </w:r>
    </w:p>
    <w:p>
      <w:pPr>
        <w:rPr>
          <w:rFonts w:hint="eastAsia"/>
          <w:b/>
          <w:bCs/>
          <w:sz w:val="24"/>
          <w:szCs w:val="24"/>
          <w:lang w:val="en-US" w:eastAsia="zh-CN"/>
        </w:rPr>
      </w:pPr>
      <w:r>
        <w:rPr>
          <w:rFonts w:hint="eastAsia"/>
          <w:b/>
          <w:bCs/>
          <w:sz w:val="24"/>
          <w:szCs w:val="24"/>
          <w:lang w:val="en-US" w:eastAsia="zh-CN"/>
        </w:rPr>
        <w:t>图6-2 厂区生产去全封闭照片</w:t>
      </w: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rPr>
          <w:rFonts w:hint="eastAsia"/>
          <w:lang w:val="en-US" w:eastAsia="zh-CN"/>
        </w:rPr>
      </w:pPr>
    </w:p>
    <w:p>
      <w:pPr>
        <w:pStyle w:val="2"/>
        <w:rPr>
          <w:rFonts w:hint="default"/>
          <w:lang w:val="en-US" w:eastAsia="zh-CN"/>
        </w:rPr>
      </w:pPr>
      <w:r>
        <w:rPr>
          <w:rFonts w:hint="default"/>
          <w:lang w:val="en-US" w:eastAsia="zh-CN"/>
        </w:rPr>
        <w:drawing>
          <wp:inline distT="0" distB="0" distL="114300" distR="114300">
            <wp:extent cx="5822950" cy="3663950"/>
            <wp:effectExtent l="0" t="0" r="6350" b="12700"/>
            <wp:docPr id="52" name="图片 52" descr="f98bc96a3dde06d64b7270e7428ab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98bc96a3dde06d64b7270e7428ab5f"/>
                    <pic:cNvPicPr>
                      <a:picLocks noChangeAspect="1"/>
                    </pic:cNvPicPr>
                  </pic:nvPicPr>
                  <pic:blipFill>
                    <a:blip r:embed="rId56"/>
                    <a:stretch>
                      <a:fillRect/>
                    </a:stretch>
                  </pic:blipFill>
                  <pic:spPr>
                    <a:xfrm>
                      <a:off x="0" y="0"/>
                      <a:ext cx="5822950" cy="3663950"/>
                    </a:xfrm>
                    <a:prstGeom prst="rect">
                      <a:avLst/>
                    </a:prstGeom>
                  </pic:spPr>
                </pic:pic>
              </a:graphicData>
            </a:graphic>
          </wp:inline>
        </w:drawing>
      </w:r>
      <w:r>
        <w:rPr>
          <w:rFonts w:hint="default"/>
          <w:lang w:val="en-US" w:eastAsia="zh-CN"/>
        </w:rPr>
        <w:drawing>
          <wp:inline distT="0" distB="0" distL="114300" distR="114300">
            <wp:extent cx="5822950" cy="4608195"/>
            <wp:effectExtent l="0" t="0" r="6350" b="1905"/>
            <wp:docPr id="40" name="图片 40" descr="22c43dbf6be0d02115cd07a0fca38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2c43dbf6be0d02115cd07a0fca38fd"/>
                    <pic:cNvPicPr>
                      <a:picLocks noChangeAspect="1"/>
                    </pic:cNvPicPr>
                  </pic:nvPicPr>
                  <pic:blipFill>
                    <a:blip r:embed="rId57"/>
                    <a:stretch>
                      <a:fillRect/>
                    </a:stretch>
                  </pic:blipFill>
                  <pic:spPr>
                    <a:xfrm>
                      <a:off x="0" y="0"/>
                      <a:ext cx="5822950" cy="4608195"/>
                    </a:xfrm>
                    <a:prstGeom prst="rect">
                      <a:avLst/>
                    </a:prstGeom>
                  </pic:spPr>
                </pic:pic>
              </a:graphicData>
            </a:graphic>
          </wp:inline>
        </w:drawing>
      </w:r>
      <w:r>
        <w:rPr>
          <w:rFonts w:hint="default"/>
          <w:lang w:val="en-US" w:eastAsia="zh-CN"/>
        </w:rPr>
        <w:drawing>
          <wp:inline distT="0" distB="0" distL="114300" distR="114300">
            <wp:extent cx="5822950" cy="4441825"/>
            <wp:effectExtent l="0" t="0" r="6350" b="15875"/>
            <wp:docPr id="57" name="图片 57" descr="7d2b8506e37ec1d3b4dcf96dea66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d2b8506e37ec1d3b4dcf96dea669f4"/>
                    <pic:cNvPicPr>
                      <a:picLocks noChangeAspect="1"/>
                    </pic:cNvPicPr>
                  </pic:nvPicPr>
                  <pic:blipFill>
                    <a:blip r:embed="rId58"/>
                    <a:stretch>
                      <a:fillRect/>
                    </a:stretch>
                  </pic:blipFill>
                  <pic:spPr>
                    <a:xfrm>
                      <a:off x="0" y="0"/>
                      <a:ext cx="5822950" cy="4441825"/>
                    </a:xfrm>
                    <a:prstGeom prst="rect">
                      <a:avLst/>
                    </a:prstGeom>
                  </pic:spPr>
                </pic:pic>
              </a:graphicData>
            </a:graphic>
          </wp:inline>
        </w:drawing>
      </w:r>
      <w:r>
        <w:rPr>
          <w:rFonts w:hint="default"/>
          <w:lang w:val="en-US" w:eastAsia="zh-CN"/>
        </w:rPr>
        <w:drawing>
          <wp:inline distT="0" distB="0" distL="114300" distR="114300">
            <wp:extent cx="5870575" cy="3952875"/>
            <wp:effectExtent l="0" t="0" r="15875" b="9525"/>
            <wp:docPr id="62" name="图片 62" descr="0e1fa22625158a266cd75cca9431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e1fa22625158a266cd75cca9431b06"/>
                    <pic:cNvPicPr>
                      <a:picLocks noChangeAspect="1"/>
                    </pic:cNvPicPr>
                  </pic:nvPicPr>
                  <pic:blipFill>
                    <a:blip r:embed="rId59"/>
                    <a:stretch>
                      <a:fillRect/>
                    </a:stretch>
                  </pic:blipFill>
                  <pic:spPr>
                    <a:xfrm>
                      <a:off x="0" y="0"/>
                      <a:ext cx="5870575" cy="3952875"/>
                    </a:xfrm>
                    <a:prstGeom prst="rect">
                      <a:avLst/>
                    </a:prstGeom>
                  </pic:spPr>
                </pic:pic>
              </a:graphicData>
            </a:graphic>
          </wp:inline>
        </w:drawing>
      </w:r>
    </w:p>
    <w:p>
      <w:pPr>
        <w:rPr>
          <w:rFonts w:hint="eastAsia"/>
          <w:sz w:val="24"/>
          <w:szCs w:val="24"/>
          <w:lang w:val="en-US" w:eastAsia="zh-CN"/>
        </w:rPr>
      </w:pPr>
      <w:r>
        <w:rPr>
          <w:rFonts w:hint="eastAsia"/>
          <w:b/>
          <w:bCs/>
          <w:sz w:val="24"/>
          <w:szCs w:val="24"/>
          <w:lang w:val="en-US" w:eastAsia="zh-CN"/>
        </w:rPr>
        <w:t>图6-3厂区应急池整改照片</w:t>
      </w:r>
    </w:p>
    <w:p>
      <w:pPr>
        <w:pStyle w:val="2"/>
        <w:rPr>
          <w:rFonts w:hint="default"/>
          <w:lang w:val="en-US" w:eastAsia="zh-CN"/>
        </w:rPr>
      </w:pPr>
      <w:r>
        <w:rPr>
          <w:rFonts w:hint="default"/>
          <w:lang w:val="en-US" w:eastAsia="zh-CN"/>
        </w:rPr>
        <w:drawing>
          <wp:inline distT="0" distB="0" distL="114300" distR="114300">
            <wp:extent cx="6416040" cy="3917315"/>
            <wp:effectExtent l="0" t="0" r="3810" b="6985"/>
            <wp:docPr id="65" name="图片 65" descr="247ce9885adc4e4f3e20ce3ff337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47ce9885adc4e4f3e20ce3ff3374a4"/>
                    <pic:cNvPicPr>
                      <a:picLocks noChangeAspect="1"/>
                    </pic:cNvPicPr>
                  </pic:nvPicPr>
                  <pic:blipFill>
                    <a:blip r:embed="rId60"/>
                    <a:stretch>
                      <a:fillRect/>
                    </a:stretch>
                  </pic:blipFill>
                  <pic:spPr>
                    <a:xfrm>
                      <a:off x="0" y="0"/>
                      <a:ext cx="6416040" cy="3917315"/>
                    </a:xfrm>
                    <a:prstGeom prst="rect">
                      <a:avLst/>
                    </a:prstGeom>
                  </pic:spPr>
                </pic:pic>
              </a:graphicData>
            </a:graphic>
          </wp:inline>
        </w:drawing>
      </w:r>
    </w:p>
    <w:p>
      <w:pPr>
        <w:rPr>
          <w:rFonts w:hint="eastAsia"/>
          <w:lang w:val="en-US" w:eastAsia="zh-CN"/>
        </w:rPr>
      </w:pPr>
      <w:r>
        <w:rPr>
          <w:rFonts w:hint="eastAsia"/>
          <w:lang w:val="en-US" w:eastAsia="zh-CN"/>
        </w:rPr>
        <w:t xml:space="preserve">  </w:t>
      </w:r>
    </w:p>
    <w:p>
      <w:pPr>
        <w:pStyle w:val="2"/>
        <w:rPr>
          <w:rFonts w:hint="default"/>
          <w:lang w:val="en-US" w:eastAsia="zh-CN"/>
        </w:rPr>
      </w:pPr>
    </w:p>
    <w:p>
      <w:pPr>
        <w:rPr>
          <w:rFonts w:hint="default"/>
          <w:lang w:val="en-US" w:eastAsia="zh-CN"/>
        </w:rPr>
      </w:pPr>
      <w:r>
        <w:rPr>
          <w:rFonts w:hint="default"/>
          <w:lang w:val="en-US" w:eastAsia="zh-CN"/>
        </w:rPr>
        <w:drawing>
          <wp:inline distT="0" distB="0" distL="114300" distR="114300">
            <wp:extent cx="6537325" cy="3662045"/>
            <wp:effectExtent l="0" t="0" r="15875" b="14605"/>
            <wp:docPr id="66" name="图片 66" descr="514a9b0ce23b775a00caba57a51e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514a9b0ce23b775a00caba57a51e06b"/>
                    <pic:cNvPicPr>
                      <a:picLocks noChangeAspect="1"/>
                    </pic:cNvPicPr>
                  </pic:nvPicPr>
                  <pic:blipFill>
                    <a:blip r:embed="rId61"/>
                    <a:stretch>
                      <a:fillRect/>
                    </a:stretch>
                  </pic:blipFill>
                  <pic:spPr>
                    <a:xfrm>
                      <a:off x="0" y="0"/>
                      <a:ext cx="6537325" cy="3662045"/>
                    </a:xfrm>
                    <a:prstGeom prst="rect">
                      <a:avLst/>
                    </a:prstGeom>
                  </pic:spPr>
                </pic:pic>
              </a:graphicData>
            </a:graphic>
          </wp:inline>
        </w:drawing>
      </w:r>
    </w:p>
    <w:p>
      <w:pPr>
        <w:pStyle w:val="2"/>
        <w:rPr>
          <w:rFonts w:hint="default"/>
          <w:lang w:val="en-US" w:eastAsia="zh-CN"/>
        </w:rPr>
      </w:pPr>
      <w:r>
        <w:rPr>
          <w:rFonts w:hint="eastAsia"/>
          <w:lang w:val="en-US" w:eastAsia="zh-CN"/>
        </w:rPr>
        <w:drawing>
          <wp:inline distT="0" distB="0" distL="114300" distR="114300">
            <wp:extent cx="6468110" cy="4632960"/>
            <wp:effectExtent l="0" t="0" r="8890" b="15240"/>
            <wp:docPr id="35" name="图片 35" descr="38102a5b3dbd52ffe237c7755ead4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38102a5b3dbd52ffe237c7755ead47b"/>
                    <pic:cNvPicPr>
                      <a:picLocks noChangeAspect="1"/>
                    </pic:cNvPicPr>
                  </pic:nvPicPr>
                  <pic:blipFill>
                    <a:blip r:embed="rId62"/>
                    <a:stretch>
                      <a:fillRect/>
                    </a:stretch>
                  </pic:blipFill>
                  <pic:spPr>
                    <a:xfrm>
                      <a:off x="0" y="0"/>
                      <a:ext cx="6468110" cy="4632960"/>
                    </a:xfrm>
                    <a:prstGeom prst="rect">
                      <a:avLst/>
                    </a:prstGeom>
                  </pic:spPr>
                </pic:pic>
              </a:graphicData>
            </a:graphic>
          </wp:inline>
        </w:drawing>
      </w:r>
    </w:p>
    <w:p>
      <w:pPr>
        <w:rPr>
          <w:rFonts w:hint="default"/>
          <w:lang w:val="en-US" w:eastAsia="zh-CN"/>
        </w:rPr>
      </w:pPr>
      <w:r>
        <w:rPr>
          <w:rFonts w:hint="default"/>
          <w:lang w:val="en-US" w:eastAsia="zh-CN"/>
        </w:rPr>
        <w:drawing>
          <wp:inline distT="0" distB="0" distL="114300" distR="114300">
            <wp:extent cx="6433185" cy="3141980"/>
            <wp:effectExtent l="0" t="0" r="5715" b="1270"/>
            <wp:docPr id="67" name="图片 67" descr="15e46fc2036306318a3ae29e9aefe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5e46fc2036306318a3ae29e9aefeec"/>
                    <pic:cNvPicPr>
                      <a:picLocks noChangeAspect="1"/>
                    </pic:cNvPicPr>
                  </pic:nvPicPr>
                  <pic:blipFill>
                    <a:blip r:embed="rId63"/>
                    <a:stretch>
                      <a:fillRect/>
                    </a:stretch>
                  </pic:blipFill>
                  <pic:spPr>
                    <a:xfrm>
                      <a:off x="0" y="0"/>
                      <a:ext cx="6433185" cy="3141980"/>
                    </a:xfrm>
                    <a:prstGeom prst="rect">
                      <a:avLst/>
                    </a:prstGeom>
                  </pic:spPr>
                </pic:pic>
              </a:graphicData>
            </a:graphic>
          </wp:inline>
        </w:drawing>
      </w:r>
    </w:p>
    <w:p>
      <w:pPr>
        <w:rPr>
          <w:rFonts w:hint="default"/>
          <w:lang w:val="en-US" w:eastAsia="zh-CN"/>
        </w:rPr>
      </w:pPr>
    </w:p>
    <w:p>
      <w:pPr>
        <w:rPr>
          <w:rFonts w:hint="eastAsia"/>
          <w:b/>
          <w:bCs/>
          <w:sz w:val="24"/>
          <w:szCs w:val="24"/>
          <w:lang w:val="en-US" w:eastAsia="zh-CN"/>
        </w:rPr>
      </w:pPr>
      <w:r>
        <w:rPr>
          <w:rFonts w:hint="eastAsia"/>
          <w:b/>
          <w:bCs/>
          <w:sz w:val="24"/>
          <w:szCs w:val="24"/>
          <w:lang w:val="en-US" w:eastAsia="zh-CN"/>
        </w:rPr>
        <w:t>图6-4危废间整改照片</w:t>
      </w:r>
    </w:p>
    <w:p>
      <w:pPr>
        <w:rPr>
          <w:rFonts w:hint="default"/>
          <w:b/>
          <w:bCs/>
          <w:lang w:val="en-US" w:eastAsia="zh-CN"/>
        </w:rPr>
      </w:pPr>
    </w:p>
    <w:p>
      <w:pPr>
        <w:pStyle w:val="2"/>
        <w:rPr>
          <w:rFonts w:hint="default"/>
          <w:lang w:val="en-US" w:eastAsia="zh-CN"/>
        </w:rPr>
      </w:pPr>
      <w:r>
        <w:rPr>
          <w:sz w:val="28"/>
        </w:rPr>
        <mc:AlternateContent>
          <mc:Choice Requires="wps">
            <w:drawing>
              <wp:anchor distT="0" distB="0" distL="114300" distR="114300" simplePos="0" relativeHeight="251680768" behindDoc="0" locked="0" layoutInCell="1" allowOverlap="1">
                <wp:simplePos x="0" y="0"/>
                <wp:positionH relativeFrom="column">
                  <wp:posOffset>4124325</wp:posOffset>
                </wp:positionH>
                <wp:positionV relativeFrom="paragraph">
                  <wp:posOffset>1249680</wp:posOffset>
                </wp:positionV>
                <wp:extent cx="770890" cy="354965"/>
                <wp:effectExtent l="4445" t="4445" r="5715" b="21590"/>
                <wp:wrapNone/>
                <wp:docPr id="34" name="文本框 34"/>
                <wp:cNvGraphicFramePr/>
                <a:graphic xmlns:a="http://schemas.openxmlformats.org/drawingml/2006/main">
                  <a:graphicData uri="http://schemas.microsoft.com/office/word/2010/wordprocessingShape">
                    <wps:wsp>
                      <wps:cNvSpPr txBox="1"/>
                      <wps:spPr>
                        <a:xfrm>
                          <a:off x="5040630" y="2165985"/>
                          <a:ext cx="770890" cy="3549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75pt;margin-top:98.4pt;height:27.95pt;width:60.7pt;z-index:251680768;mso-width-relative:page;mso-height-relative:page;" fillcolor="#FFFFFF [3201]" filled="t" stroked="t" coordsize="21600,21600" o:gfxdata="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7Ms0dgAAAALAQAADwAAAAAAAAABACAAAAAiAAAAZHJzL2Rvd25yZXYueG1sUEsB&#10;AhQAFAAAAAgAh07iQBcn86dnAgAAxAQAAA4AAAAAAAAAAQAgAAAAJwEAAGRycy9lMm9Eb2MueG1s&#10;UEsFBgAAAAAGAAYAWQEAAAAGA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集气罩2</w:t>
                      </w:r>
                    </w:p>
                  </w:txbxContent>
                </v:textbox>
              </v:shape>
            </w:pict>
          </mc:Fallback>
        </mc:AlternateContent>
      </w:r>
      <w:r>
        <w:rPr>
          <w:sz w:val="28"/>
        </w:rPr>
        <mc:AlternateContent>
          <mc:Choice Requires="wps">
            <w:drawing>
              <wp:anchor distT="0" distB="0" distL="114300" distR="114300" simplePos="0" relativeHeight="251679744" behindDoc="0" locked="0" layoutInCell="1" allowOverlap="1">
                <wp:simplePos x="0" y="0"/>
                <wp:positionH relativeFrom="column">
                  <wp:posOffset>1440180</wp:posOffset>
                </wp:positionH>
                <wp:positionV relativeFrom="paragraph">
                  <wp:posOffset>1269365</wp:posOffset>
                </wp:positionV>
                <wp:extent cx="701040" cy="310515"/>
                <wp:effectExtent l="4445" t="4445" r="18415" b="8890"/>
                <wp:wrapNone/>
                <wp:docPr id="6" name="文本框 6"/>
                <wp:cNvGraphicFramePr/>
                <a:graphic xmlns:a="http://schemas.openxmlformats.org/drawingml/2006/main">
                  <a:graphicData uri="http://schemas.microsoft.com/office/word/2010/wordprocessingShape">
                    <wps:wsp>
                      <wps:cNvSpPr txBox="1"/>
                      <wps:spPr>
                        <a:xfrm>
                          <a:off x="2304415" y="2133600"/>
                          <a:ext cx="701040" cy="3105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4pt;margin-top:99.95pt;height:24.45pt;width:55.2pt;z-index:251679744;mso-width-relative:page;mso-height-relative:page;" fillcolor="#FFFFFF [3201]" filled="t" stroked="t" coordsize="21600,21600" o:gfxdata="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UHtutcAAAALAQAADwAAAAAAAAABACAAAAAiAAAAZHJzL2Rvd25yZXYueG1sUEsBAhQAFAAAAAgA&#10;h07iQH6eeJ1fAgAAwgQAAA4AAAAAAAAAAQAgAAAAJgEAAGRycy9lMm9Eb2MueG1sUEsFBgAAAAAG&#10;AAYAWQEAAPcFA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集气罩1</w:t>
                      </w:r>
                    </w:p>
                  </w:txbxContent>
                </v:textbox>
              </v:shape>
            </w:pict>
          </mc:Fallback>
        </mc:AlternateContent>
      </w:r>
      <w:r>
        <w:rPr>
          <w:rFonts w:hint="default"/>
          <w:lang w:val="en-US" w:eastAsia="zh-CN"/>
        </w:rPr>
        <w:drawing>
          <wp:inline distT="0" distB="0" distL="114300" distR="114300">
            <wp:extent cx="6113145" cy="3561080"/>
            <wp:effectExtent l="0" t="0" r="1905" b="1270"/>
            <wp:docPr id="58" name="图片 58" descr="34a8c5d4707b15f95e439a4325a43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4a8c5d4707b15f95e439a4325a43a1"/>
                    <pic:cNvPicPr>
                      <a:picLocks noChangeAspect="1"/>
                    </pic:cNvPicPr>
                  </pic:nvPicPr>
                  <pic:blipFill>
                    <a:blip r:embed="rId64"/>
                    <a:stretch>
                      <a:fillRect/>
                    </a:stretch>
                  </pic:blipFill>
                  <pic:spPr>
                    <a:xfrm>
                      <a:off x="0" y="0"/>
                      <a:ext cx="6113145" cy="3561080"/>
                    </a:xfrm>
                    <a:prstGeom prst="rect">
                      <a:avLst/>
                    </a:prstGeom>
                  </pic:spPr>
                </pic:pic>
              </a:graphicData>
            </a:graphic>
          </wp:inline>
        </w:drawing>
      </w:r>
    </w:p>
    <w:p>
      <w:pPr>
        <w:pStyle w:val="2"/>
        <w:rPr>
          <w:rFonts w:hint="default"/>
          <w:sz w:val="24"/>
          <w:szCs w:val="24"/>
          <w:lang w:val="en-US"/>
        </w:rPr>
      </w:pPr>
      <w:r>
        <w:rPr>
          <w:sz w:val="28"/>
        </w:rPr>
        <mc:AlternateContent>
          <mc:Choice Requires="wps">
            <w:drawing>
              <wp:anchor distT="0" distB="0" distL="114300" distR="114300" simplePos="0" relativeHeight="251678720" behindDoc="0" locked="0" layoutInCell="1" allowOverlap="1">
                <wp:simplePos x="0" y="0"/>
                <wp:positionH relativeFrom="column">
                  <wp:posOffset>2982595</wp:posOffset>
                </wp:positionH>
                <wp:positionV relativeFrom="paragraph">
                  <wp:posOffset>1979930</wp:posOffset>
                </wp:positionV>
                <wp:extent cx="787400" cy="335280"/>
                <wp:effectExtent l="4445" t="4445" r="8255" b="22225"/>
                <wp:wrapNone/>
                <wp:docPr id="31" name="文本框 31"/>
                <wp:cNvGraphicFramePr/>
                <a:graphic xmlns:a="http://schemas.openxmlformats.org/drawingml/2006/main">
                  <a:graphicData uri="http://schemas.microsoft.com/office/word/2010/wordprocessingShape">
                    <wps:wsp>
                      <wps:cNvSpPr txBox="1"/>
                      <wps:spPr>
                        <a:xfrm>
                          <a:off x="3709035" y="5184775"/>
                          <a:ext cx="787400" cy="335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85pt;margin-top:155.9pt;height:26.4pt;width:62pt;z-index:251678720;mso-width-relative:page;mso-height-relative:page;" fillcolor="#FFFFFF [3201]" filled="t" stroked="t" coordsize="21600,21600" o:gfxdata="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RfnEk1wAAAAsBAAAPAAAAAAAAAAEAIAAAACIAAABkcnMvZG93bnJldi54bWxQSwEC&#10;FAAUAAAACACHTuJA4qUdRGcCAADEBAAADgAAAAAAAAABACAAAAAmAQAAZHJzL2Uyb0RvYy54bWxQ&#10;SwUGAAAAAAYABgBZAQAA/wU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集气罩3</w:t>
                      </w:r>
                    </w:p>
                  </w:txbxContent>
                </v:textbox>
              </v:shape>
            </w:pict>
          </mc:Fallback>
        </mc:AlternateContent>
      </w:r>
      <w:r>
        <w:rPr>
          <w:sz w:val="28"/>
        </w:rPr>
        <w:drawing>
          <wp:inline distT="0" distB="0" distL="114300" distR="114300">
            <wp:extent cx="6125845" cy="4573270"/>
            <wp:effectExtent l="0" t="0" r="8255" b="17780"/>
            <wp:docPr id="71" name="图片 71" descr="692303ee114656dce6d8fcdbd557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692303ee114656dce6d8fcdbd557c01"/>
                    <pic:cNvPicPr>
                      <a:picLocks noChangeAspect="1"/>
                    </pic:cNvPicPr>
                  </pic:nvPicPr>
                  <pic:blipFill>
                    <a:blip r:embed="rId65"/>
                    <a:stretch>
                      <a:fillRect/>
                    </a:stretch>
                  </pic:blipFill>
                  <pic:spPr>
                    <a:xfrm>
                      <a:off x="0" y="0"/>
                      <a:ext cx="6125845" cy="4573270"/>
                    </a:xfrm>
                    <a:prstGeom prst="rect">
                      <a:avLst/>
                    </a:prstGeom>
                  </pic:spPr>
                </pic:pic>
              </a:graphicData>
            </a:graphic>
          </wp:inline>
        </w:drawing>
      </w:r>
      <w:r>
        <w:rPr>
          <w:sz w:val="24"/>
          <w:szCs w:val="24"/>
        </w:rPr>
        <mc:AlternateContent>
          <mc:Choice Requires="wps">
            <w:drawing>
              <wp:anchor distT="0" distB="0" distL="114300" distR="114300" simplePos="0" relativeHeight="251677696" behindDoc="0" locked="0" layoutInCell="1" allowOverlap="1">
                <wp:simplePos x="0" y="0"/>
                <wp:positionH relativeFrom="column">
                  <wp:posOffset>-3253740</wp:posOffset>
                </wp:positionH>
                <wp:positionV relativeFrom="paragraph">
                  <wp:posOffset>563245</wp:posOffset>
                </wp:positionV>
                <wp:extent cx="778510" cy="328295"/>
                <wp:effectExtent l="4445" t="4445" r="17145" b="10160"/>
                <wp:wrapNone/>
                <wp:docPr id="73" name="文本框 73"/>
                <wp:cNvGraphicFramePr/>
                <a:graphic xmlns:a="http://schemas.openxmlformats.org/drawingml/2006/main">
                  <a:graphicData uri="http://schemas.microsoft.com/office/word/2010/wordprocessingShape">
                    <wps:wsp>
                      <wps:cNvSpPr txBox="1"/>
                      <wps:spPr>
                        <a:xfrm>
                          <a:off x="2081530" y="4909820"/>
                          <a:ext cx="778510" cy="3282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2pt;margin-top:44.35pt;height:25.85pt;width:61.3pt;z-index:251677696;mso-width-relative:page;mso-height-relative:page;" fillcolor="#FFFFFF [3201]" filled="t" stroked="t" coordsize="21600,21600" o:gfxdata="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8ffPtgAAAAMAQAADwAAAAAAAAABACAAAAAiAAAAZHJzL2Rvd25yZXYueG1sUEsBAhQA&#10;FAAAAAgAh07iQN3uUj5kAgAAxAQAAA4AAAAAAAAAAQAgAAAAJwEAAGRycy9lMm9Eb2MueG1sUEsF&#10;BgAAAAAGAAYAWQEAAP0FA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集气罩2</w:t>
                      </w:r>
                    </w:p>
                  </w:txbxContent>
                </v:textbox>
              </v:shape>
            </w:pict>
          </mc:Fallback>
        </mc:AlternateContent>
      </w:r>
      <w:r>
        <w:rPr>
          <w:rFonts w:hint="eastAsia"/>
          <w:sz w:val="24"/>
          <w:szCs w:val="24"/>
          <w:lang w:val="en-US" w:eastAsia="zh-CN"/>
        </w:rPr>
        <w:t>图6-5集气罩照片</w:t>
      </w:r>
    </w:p>
    <w:p>
      <w:pPr>
        <w:pStyle w:val="2"/>
        <w:rPr>
          <w:rFonts w:hint="eastAsia"/>
          <w:sz w:val="32"/>
          <w:szCs w:val="32"/>
          <w:lang w:val="en-US" w:eastAsia="zh-CN"/>
        </w:rPr>
      </w:pPr>
      <w:r>
        <w:rPr>
          <w:sz w:val="32"/>
          <w:szCs w:val="32"/>
        </w:rPr>
        <mc:AlternateContent>
          <mc:Choice Requires="wps">
            <w:drawing>
              <wp:anchor distT="0" distB="0" distL="114300" distR="114300" simplePos="0" relativeHeight="251676672" behindDoc="0" locked="0" layoutInCell="1" allowOverlap="1">
                <wp:simplePos x="0" y="0"/>
                <wp:positionH relativeFrom="column">
                  <wp:posOffset>-3467735</wp:posOffset>
                </wp:positionH>
                <wp:positionV relativeFrom="paragraph">
                  <wp:posOffset>3436620</wp:posOffset>
                </wp:positionV>
                <wp:extent cx="730250" cy="280670"/>
                <wp:effectExtent l="4445" t="4445" r="8255" b="19685"/>
                <wp:wrapNone/>
                <wp:docPr id="70" name="文本框 70"/>
                <wp:cNvGraphicFramePr/>
                <a:graphic xmlns:a="http://schemas.openxmlformats.org/drawingml/2006/main">
                  <a:graphicData uri="http://schemas.microsoft.com/office/word/2010/wordprocessingShape">
                    <wps:wsp>
                      <wps:cNvSpPr txBox="1"/>
                      <wps:spPr>
                        <a:xfrm>
                          <a:off x="1867535" y="4881245"/>
                          <a:ext cx="730250" cy="280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05pt;margin-top:270.6pt;height:22.1pt;width:57.5pt;z-index:251676672;mso-width-relative:page;mso-height-relative:page;" fillcolor="#FFFFFF [3201]" filled="t" stroked="t" coordsize="21600,21600" o:gfxdata="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AAuA9gAAAANAQAADwAAAAAAAAABACAAAAAiAAAAZHJzL2Rvd25yZXYueG1sUEsBAhQA&#10;FAAAAAgAh07iQCO3oL5kAgAAxAQAAA4AAAAAAAAAAQAgAAAAJwEAAGRycy9lMm9Eb2MueG1sUEsF&#10;BgAAAAAGAAYAWQEAAP0FA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集气罩2</w:t>
                      </w:r>
                    </w:p>
                  </w:txbxContent>
                </v:textbox>
              </v:shape>
            </w:pict>
          </mc:Fallback>
        </mc:AlternateContent>
      </w:r>
      <w:r>
        <w:rPr>
          <w:sz w:val="32"/>
          <w:szCs w:val="32"/>
        </w:rPr>
        <mc:AlternateContent>
          <mc:Choice Requires="wps">
            <w:drawing>
              <wp:anchor distT="0" distB="0" distL="114300" distR="114300" simplePos="0" relativeHeight="251675648" behindDoc="0" locked="0" layoutInCell="1" allowOverlap="1">
                <wp:simplePos x="0" y="0"/>
                <wp:positionH relativeFrom="column">
                  <wp:posOffset>-1245235</wp:posOffset>
                </wp:positionH>
                <wp:positionV relativeFrom="paragraph">
                  <wp:posOffset>3920490</wp:posOffset>
                </wp:positionV>
                <wp:extent cx="190500" cy="281305"/>
                <wp:effectExtent l="5080" t="4445" r="13970" b="19050"/>
                <wp:wrapNone/>
                <wp:docPr id="69" name="文本框 69"/>
                <wp:cNvGraphicFramePr/>
                <a:graphic xmlns:a="http://schemas.openxmlformats.org/drawingml/2006/main">
                  <a:graphicData uri="http://schemas.microsoft.com/office/word/2010/wordprocessingShape">
                    <wps:wsp>
                      <wps:cNvSpPr txBox="1"/>
                      <wps:spPr>
                        <a:xfrm>
                          <a:off x="4090035" y="5365115"/>
                          <a:ext cx="190500" cy="281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集气罩1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05pt;margin-top:308.7pt;height:22.15pt;width:15pt;z-index:251675648;mso-width-relative:page;mso-height-relative:page;" fillcolor="#FFFFFF [3201]" filled="t" stroked="t" coordsize="21600,21600" o:gfxdata="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3iHfdtcAAAANAQAADwAAAAAAAAABACAAAAAiAAAAZHJzL2Rvd25yZXYueG1sUEsBAhQA&#10;FAAAAAgAh07iQG/J97VlAgAAxAQAAA4AAAAAAAAAAQAgAAAAJgEAAGRycy9lMm9Eb2MueG1sUEsF&#10;BgAAAAAGAAYAWQEAAP0FAAAAAA==&#10;">
                <v:fill on="t" focussize="0,0"/>
                <v:stroke weight="0.5pt" color="#000000 [3204]" joinstyle="round"/>
                <v:imagedata o:title=""/>
                <o:lock v:ext="edit" aspectratio="f"/>
                <v:textbox>
                  <w:txbxContent>
                    <w:p>
                      <w:pPr>
                        <w:rPr>
                          <w:rFonts w:hint="default" w:eastAsiaTheme="minorEastAsia"/>
                          <w:lang w:val="en-US" w:eastAsia="zh-CN"/>
                        </w:rPr>
                      </w:pPr>
                      <w:r>
                        <w:rPr>
                          <w:rFonts w:hint="eastAsia"/>
                          <w:lang w:val="en-US" w:eastAsia="zh-CN"/>
                        </w:rPr>
                        <w:t>集气罩1</w:t>
                      </w:r>
                    </w:p>
                  </w:txbxContent>
                </v:textbox>
              </v:shape>
            </w:pict>
          </mc:Fallback>
        </mc:AlternateContent>
      </w:r>
      <w:r>
        <w:rPr>
          <w:rFonts w:hint="eastAsia"/>
          <w:sz w:val="32"/>
          <w:szCs w:val="32"/>
          <w:lang w:val="en-US" w:eastAsia="zh-CN"/>
        </w:rPr>
        <w:t>附图7现成验收人员表</w:t>
      </w:r>
    </w:p>
    <w:p>
      <w:pPr>
        <w:rPr>
          <w:rFonts w:hint="default"/>
          <w:lang w:val="en-US" w:eastAsia="zh-CN"/>
        </w:rPr>
      </w:pPr>
      <w:r>
        <w:drawing>
          <wp:inline distT="0" distB="0" distL="114300" distR="114300">
            <wp:extent cx="5827395" cy="8204200"/>
            <wp:effectExtent l="0" t="0" r="1905" b="635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66"/>
                    <a:stretch>
                      <a:fillRect/>
                    </a:stretch>
                  </pic:blipFill>
                  <pic:spPr>
                    <a:xfrm>
                      <a:off x="0" y="0"/>
                      <a:ext cx="5827395" cy="8204200"/>
                    </a:xfrm>
                    <a:prstGeom prst="rect">
                      <a:avLst/>
                    </a:prstGeom>
                    <a:noFill/>
                    <a:ln>
                      <a:noFill/>
                    </a:ln>
                  </pic:spPr>
                </pic:pic>
              </a:graphicData>
            </a:graphic>
          </wp:inline>
        </w:drawing>
      </w:r>
    </w:p>
    <w:sectPr>
      <w:footerReference r:id="rId10" w:type="default"/>
      <w:pgSz w:w="11906" w:h="16838"/>
      <w:pgMar w:top="1361" w:right="1361" w:bottom="1361" w:left="1361" w:header="851" w:footer="737"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FangSong_GB2312">
    <w:altName w:val="仿宋"/>
    <w:panose1 w:val="02010609060101010101"/>
    <w:charset w:val="00"/>
    <w:family w:val="roman"/>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auto"/>
    <w:pitch w:val="default"/>
    <w:sig w:usb0="00000000" w:usb1="00000000" w:usb2="00000010" w:usb3="00000000" w:csb0="00040001" w:csb1="00000000"/>
  </w:font>
  <w:font w:name="微软雅黑">
    <w:panose1 w:val="020B0503020204020204"/>
    <w:charset w:val="86"/>
    <w:family w:val="swiss"/>
    <w:pitch w:val="default"/>
    <w:sig w:usb0="80000287" w:usb1="2ACF3C50" w:usb2="00000016" w:usb3="00000000" w:csb0="0004001F" w:csb1="00000000"/>
  </w:font>
  <w:font w:name="幼圆">
    <w:panose1 w:val="0201050906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华文楷体">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imes New Roman" w:hAnsi="Times New Roman" w:cs="Times New Roman"/>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Rq0sMkBAACaAwAADgAAAGRycy9lMm9Eb2MueG1srVPNjtMwEL4j8Q6W&#10;79Rph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nxNieMWJ375/u3y49fl51ey&#10;zPr0AWpMuwuYmIa3fsCtmf2Azkx7UNHmLxIiGEd1z1d15ZCIyI/Wq/W6wpDA2HxBfPbwPERI76S3&#10;JBsNjTi+oio/fYA0ps4puZrzt9qYMkLj/nIgZvaw3PvYY7bSsB8mQnvfnpFPj5NvqMNFp8S8dyhs&#10;XpLZiLOxn41jiPrQlS3K9SC8OSZsovSWK4ywU2EcWWE3rVfeiT/vJevhl9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9GrSwyQEAAJoDAAAOAAAAAAAAAAEAIAAAAB4BAABkcnMvZTJvRG9j&#10;LnhtbFBLBQYAAAAABgAGAFkBAABZBQAAAAA=&#10;">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v:textbox>
            </v:shape>
          </w:pict>
        </mc:Fallback>
      </mc:AlternateContent>
    </w:r>
  </w:p>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rFonts w:ascii="Times New Roman" w:hAnsi="Times New Roman" w:cs="Times New Roma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alscoBAACaAwAADgAAAGRycy9lMm9Eb2MueG1srVPNjtMwEL4j8Q6W&#10;79TZC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7TYnjFid+/vnj/OvP+fd3&#10;ssz69AFqTLsPmJiGd37ArZn9gM5Me1DR5i8SIhhHdU8XdeWQiMiPVsvVqsKQwNh8QXz28DxESO+l&#10;tyQbDY04vqIqP36ENKbOKbma83famDJC4/5xIGb2sNz72GO20rAbJkI7356QT4+Tb6jDRafEfHAo&#10;bF6S2YizsZuNQ4h635UtyvUg3B4SNlF6yxVG2Kkwjqywm9Yr78Tje8l6+KU2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alscoBAACaAwAADgAAAAAAAAABACAAAAAeAQAAZHJzL2Uyb0Rv&#10;Yy54bWxQSwUGAAAAAAYABgBZAQAAWgUAAAAA&#10;">
              <v:fill on="f" focussize="0,0"/>
              <v:stroke on="f"/>
              <v:imagedata o:title=""/>
              <o:lock v:ext="edit" aspectratio="f"/>
              <v:textbox inset="0mm,0mm,0mm,0mm" style="mso-fit-shape-to-text:t;">
                <w:txbxContent>
                  <w:sdt>
                    <w:sdtPr>
                      <w:id w:val="4175339"/>
                      <w:docPartObj>
                        <w:docPartGallery w:val="autotext"/>
                      </w:docPartObj>
                    </w:sdtPr>
                    <w:sdtEndPr>
                      <w:rPr>
                        <w:rFonts w:ascii="Times New Roman" w:hAnsi="Times New Roman" w:cs="Times New Roman"/>
                      </w:rPr>
                    </w:sdtEndPr>
                    <w:sdtContent>
                      <w:p>
                        <w:pPr>
                          <w:pStyle w:val="1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67</w:t>
                        </w:r>
                        <w:r>
                          <w:rPr>
                            <w:rFonts w:ascii="Times New Roman" w:hAnsi="Times New Roman" w:cs="Times New Roman"/>
                          </w:rPr>
                          <w:fldChar w:fldCharType="end"/>
                        </w:r>
                      </w:p>
                    </w:sdtContent>
                  </w:sdt>
                  <w:p>
                    <w:pPr>
                      <w:pStyle w:val="28"/>
                    </w:pPr>
                  </w:p>
                </w:txbxContent>
              </v:textbox>
            </v:shape>
          </w:pict>
        </mc:Fallback>
      </mc:AlternateContent>
    </w:r>
  </w:p>
  <w:p>
    <w:pPr>
      <w:pStyle w:val="1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rPr>
                              <w:rFonts w:hint="eastAsia" w:eastAsiaTheme="minorEastAsia"/>
                              <w:lang w:eastAsia="zh-CN"/>
                            </w:rPr>
                          </w:pPr>
                          <w:r>
                            <w:rPr>
                              <w:rFonts w:hint="eastAsia" w:ascii="Times New Roman" w:hAnsi="Times New Roman"/>
                              <w:sz w:val="21"/>
                              <w:lang w:eastAsia="zh-CN"/>
                            </w:rPr>
                            <w:fldChar w:fldCharType="begin"/>
                          </w:r>
                          <w:r>
                            <w:rPr>
                              <w:rFonts w:hint="eastAsia" w:ascii="Times New Roman" w:hAnsi="Times New Roman"/>
                              <w:sz w:val="21"/>
                              <w:lang w:eastAsia="zh-CN"/>
                            </w:rPr>
                            <w:instrText xml:space="preserve"> PAGE  \* MERGEFORMAT </w:instrText>
                          </w:r>
                          <w:r>
                            <w:rPr>
                              <w:rFonts w:hint="eastAsia" w:ascii="Times New Roman" w:hAnsi="Times New Roman"/>
                              <w:sz w:val="21"/>
                              <w:lang w:eastAsia="zh-CN"/>
                            </w:rPr>
                            <w:fldChar w:fldCharType="separate"/>
                          </w:r>
                          <w:r>
                            <w:rPr>
                              <w:rFonts w:hint="eastAsia" w:ascii="Times New Roman" w:hAnsi="Times New Roman"/>
                              <w:sz w:val="21"/>
                              <w:lang w:eastAsia="zh-CN"/>
                            </w:rPr>
                            <w:t>I</w:t>
                          </w:r>
                          <w:r>
                            <w:rPr>
                              <w:rFonts w:hint="eastAsia" w:ascii="Times New Roman" w:hAnsi="Times New Roman"/>
                              <w:sz w:val="21"/>
                              <w:lang w:eastAsia="zh-CN"/>
                            </w:rPr>
                            <w:fldChar w:fldCharType="end"/>
                          </w:r>
                        </w:p>
                      </w:txbxContent>
                    </wps:txbx>
                    <wps:bodyPr wrap="none" lIns="0" tIns="0" rIns="0" bIns="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wVp8kBAACa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Nc4d8ctTvz888f515/z7+/k&#10;TdanD1Bj2m3AxDS89wNuzewHdGbag4o2f5EQwTiqe7qoK4dERH60Wq5WFYYExuYL4rP75yFC+iC9&#10;JdloaMTxFVX58ROkMXVOydWcv9HGlBEa958DMbOH5d7HHrOVht0wEdr59oR8epx8Qx0uOiXmo0Nh&#10;85LMRpyN3WwcQtT7rmxRrgfh3SFhE6W3XGGEnQrjyAq7ab3yTvx7L1n3v9Tm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n/BWnyQEAAJoDAAAOAAAAAAAAAAEAIAAAAB4BAABkcnMvZTJvRG9j&#10;LnhtbFBLBQYAAAAABgAGAFkBAABZBQAAAAA=&#10;">
              <v:fill on="f" focussize="0,0"/>
              <v:stroke on="f"/>
              <v:imagedata o:title=""/>
              <o:lock v:ext="edit" aspectratio="f"/>
              <v:textbox inset="0mm,0mm,0mm,0mm" style="mso-fit-shape-to-text:t;">
                <w:txbxContent>
                  <w:p>
                    <w:pPr>
                      <w:pStyle w:val="17"/>
                      <w:rPr>
                        <w:rFonts w:hint="eastAsia" w:eastAsiaTheme="minorEastAsia"/>
                        <w:lang w:eastAsia="zh-CN"/>
                      </w:rPr>
                    </w:pPr>
                    <w:r>
                      <w:rPr>
                        <w:rFonts w:hint="eastAsia" w:ascii="Times New Roman" w:hAnsi="Times New Roman"/>
                        <w:sz w:val="21"/>
                        <w:lang w:eastAsia="zh-CN"/>
                      </w:rPr>
                      <w:fldChar w:fldCharType="begin"/>
                    </w:r>
                    <w:r>
                      <w:rPr>
                        <w:rFonts w:hint="eastAsia" w:ascii="Times New Roman" w:hAnsi="Times New Roman"/>
                        <w:sz w:val="21"/>
                        <w:lang w:eastAsia="zh-CN"/>
                      </w:rPr>
                      <w:instrText xml:space="preserve"> PAGE  \* MERGEFORMAT </w:instrText>
                    </w:r>
                    <w:r>
                      <w:rPr>
                        <w:rFonts w:hint="eastAsia" w:ascii="Times New Roman" w:hAnsi="Times New Roman"/>
                        <w:sz w:val="21"/>
                        <w:lang w:eastAsia="zh-CN"/>
                      </w:rPr>
                      <w:fldChar w:fldCharType="separate"/>
                    </w:r>
                    <w:r>
                      <w:rPr>
                        <w:rFonts w:hint="eastAsia" w:ascii="Times New Roman" w:hAnsi="Times New Roman"/>
                        <w:sz w:val="21"/>
                        <w:lang w:eastAsia="zh-CN"/>
                      </w:rPr>
                      <w:t>I</w:t>
                    </w:r>
                    <w:r>
                      <w:rPr>
                        <w:rFonts w:hint="eastAsia" w:ascii="Times New Roman" w:hAnsi="Times New Roman"/>
                        <w:sz w:val="21"/>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Fonts w:hint="eastAsia" w:eastAsiaTheme="minorEastAsia"/>
        <w:sz w:val="21"/>
        <w:szCs w:val="21"/>
        <w:lang w:eastAsia="zh-CN"/>
      </w:rPr>
    </w:pPr>
    <w:r>
      <w:rPr>
        <w:rFonts w:hint="eastAsia"/>
        <w:sz w:val="21"/>
        <w:szCs w:val="21"/>
        <w:lang w:eastAsia="zh-CN"/>
      </w:rPr>
      <w:t>合肥皖玻塑业有限公司</w:t>
    </w:r>
    <w:r>
      <w:rPr>
        <w:rFonts w:hint="eastAsia" w:ascii="宋体" w:hAnsi="宋体" w:cs="宋体"/>
        <w:bCs/>
        <w:sz w:val="21"/>
        <w:szCs w:val="21"/>
        <w:lang w:eastAsia="zh-CN"/>
      </w:rPr>
      <w:t>年产8000吨再生</w:t>
    </w:r>
    <w:r>
      <w:drawing>
        <wp:inline distT="0" distB="0" distL="114300" distR="114300">
          <wp:extent cx="0" cy="0"/>
          <wp:effectExtent l="0" t="0" r="0" b="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
                  <a:stretch>
                    <a:fillRect/>
                  </a:stretch>
                </pic:blipFill>
                <pic:spPr>
                  <a:xfrm>
                    <a:off x="0" y="0"/>
                    <a:ext cx="0" cy="0"/>
                  </a:xfrm>
                  <a:prstGeom prst="rect">
                    <a:avLst/>
                  </a:prstGeom>
                  <a:noFill/>
                  <a:ln>
                    <a:noFill/>
                  </a:ln>
                </pic:spPr>
              </pic:pic>
            </a:graphicData>
          </a:graphic>
        </wp:inline>
      </w:drawing>
    </w:r>
    <w:r>
      <w:rPr>
        <w:rFonts w:hint="eastAsia" w:ascii="宋体" w:hAnsi="宋体" w:cs="宋体"/>
        <w:bCs/>
        <w:sz w:val="21"/>
        <w:szCs w:val="21"/>
        <w:lang w:eastAsia="zh-CN"/>
      </w:rPr>
      <w:t>塑</w:t>
    </w:r>
    <w:r>
      <w:drawing>
        <wp:inline distT="0" distB="0" distL="114300" distR="114300">
          <wp:extent cx="0" cy="0"/>
          <wp:effectExtent l="0" t="0" r="0"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
                  <a:stretch>
                    <a:fillRect/>
                  </a:stretch>
                </pic:blipFill>
                <pic:spPr>
                  <a:xfrm>
                    <a:off x="0" y="0"/>
                    <a:ext cx="0" cy="0"/>
                  </a:xfrm>
                  <a:prstGeom prst="rect">
                    <a:avLst/>
                  </a:prstGeom>
                  <a:noFill/>
                  <a:ln>
                    <a:noFill/>
                  </a:ln>
                </pic:spPr>
              </pic:pic>
            </a:graphicData>
          </a:graphic>
        </wp:inline>
      </w:drawing>
    </w:r>
    <w:r>
      <w:rPr>
        <w:rFonts w:hint="eastAsia" w:ascii="宋体" w:hAnsi="宋体" w:cs="宋体"/>
        <w:bCs/>
        <w:sz w:val="21"/>
        <w:szCs w:val="21"/>
        <w:lang w:eastAsia="zh-CN"/>
      </w:rPr>
      <w:t>料颗粒生产项目（阶段性）</w:t>
    </w:r>
    <w:r>
      <w:rPr>
        <w:rFonts w:hint="eastAsia" w:ascii="宋体" w:hAnsi="宋体" w:cs="宋体"/>
        <w:bCs/>
        <w:sz w:val="21"/>
        <w:szCs w:val="21"/>
      </w:rPr>
      <w:t>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AD2649"/>
    <w:multiLevelType w:val="singleLevel"/>
    <w:tmpl w:val="B7AD2649"/>
    <w:lvl w:ilvl="0" w:tentative="0">
      <w:start w:val="1"/>
      <w:numFmt w:val="decimal"/>
      <w:suff w:val="nothing"/>
      <w:lvlText w:val="%1、"/>
      <w:lvlJc w:val="left"/>
      <w:pPr>
        <w:ind w:left="-60"/>
      </w:pPr>
    </w:lvl>
  </w:abstractNum>
  <w:abstractNum w:abstractNumId="1">
    <w:nsid w:val="F549573A"/>
    <w:multiLevelType w:val="singleLevel"/>
    <w:tmpl w:val="F549573A"/>
    <w:lvl w:ilvl="0" w:tentative="0">
      <w:start w:val="1"/>
      <w:numFmt w:val="chineseCounting"/>
      <w:suff w:val="nothing"/>
      <w:lvlText w:val="%1、"/>
      <w:lvlJc w:val="left"/>
      <w:rPr>
        <w:rFonts w:hint="eastAsia"/>
      </w:rPr>
    </w:lvl>
  </w:abstractNum>
  <w:abstractNum w:abstractNumId="2">
    <w:nsid w:val="0E962F7F"/>
    <w:multiLevelType w:val="singleLevel"/>
    <w:tmpl w:val="0E962F7F"/>
    <w:lvl w:ilvl="0" w:tentative="0">
      <w:start w:val="1"/>
      <w:numFmt w:val="decimal"/>
      <w:suff w:val="nothing"/>
      <w:lvlText w:val="（%1）"/>
      <w:lvlJc w:val="left"/>
    </w:lvl>
  </w:abstractNum>
  <w:abstractNum w:abstractNumId="3">
    <w:nsid w:val="433A8A6E"/>
    <w:multiLevelType w:val="singleLevel"/>
    <w:tmpl w:val="433A8A6E"/>
    <w:lvl w:ilvl="0" w:tentative="0">
      <w:start w:val="1"/>
      <w:numFmt w:val="chineseCounting"/>
      <w:suff w:val="nothing"/>
      <w:lvlText w:val="（%1）"/>
      <w:lvlJc w:val="left"/>
      <w:rPr>
        <w:rFonts w:hint="eastAsia"/>
      </w:rPr>
    </w:lvl>
  </w:abstractNum>
  <w:abstractNum w:abstractNumId="4">
    <w:nsid w:val="484205E0"/>
    <w:multiLevelType w:val="singleLevel"/>
    <w:tmpl w:val="484205E0"/>
    <w:lvl w:ilvl="0" w:tentative="0">
      <w:start w:val="2"/>
      <w:numFmt w:val="decimal"/>
      <w:suff w:val="nothing"/>
      <w:lvlText w:val="（%1）"/>
      <w:lvlJc w:val="left"/>
      <w:pPr>
        <w:ind w:left="370"/>
      </w:p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572"/>
    <w:rsid w:val="0000044C"/>
    <w:rsid w:val="00000DC3"/>
    <w:rsid w:val="00000EC7"/>
    <w:rsid w:val="0000152F"/>
    <w:rsid w:val="0000183C"/>
    <w:rsid w:val="00001DF4"/>
    <w:rsid w:val="000027D0"/>
    <w:rsid w:val="00003063"/>
    <w:rsid w:val="0000429F"/>
    <w:rsid w:val="00004A0E"/>
    <w:rsid w:val="0000564E"/>
    <w:rsid w:val="00005CCB"/>
    <w:rsid w:val="000063BC"/>
    <w:rsid w:val="0000713E"/>
    <w:rsid w:val="000075B7"/>
    <w:rsid w:val="0000783D"/>
    <w:rsid w:val="00007D5B"/>
    <w:rsid w:val="000105FB"/>
    <w:rsid w:val="00010880"/>
    <w:rsid w:val="00010FBC"/>
    <w:rsid w:val="000110E8"/>
    <w:rsid w:val="00011226"/>
    <w:rsid w:val="00011314"/>
    <w:rsid w:val="00011483"/>
    <w:rsid w:val="00011A2C"/>
    <w:rsid w:val="00011B7C"/>
    <w:rsid w:val="00012238"/>
    <w:rsid w:val="00012314"/>
    <w:rsid w:val="0001328D"/>
    <w:rsid w:val="0001355B"/>
    <w:rsid w:val="00013AC5"/>
    <w:rsid w:val="00014563"/>
    <w:rsid w:val="000146E9"/>
    <w:rsid w:val="00014B57"/>
    <w:rsid w:val="00015BD3"/>
    <w:rsid w:val="000164F9"/>
    <w:rsid w:val="0001701A"/>
    <w:rsid w:val="000174D5"/>
    <w:rsid w:val="00017532"/>
    <w:rsid w:val="00020168"/>
    <w:rsid w:val="00021531"/>
    <w:rsid w:val="000217EC"/>
    <w:rsid w:val="0002246E"/>
    <w:rsid w:val="000227D3"/>
    <w:rsid w:val="000229F6"/>
    <w:rsid w:val="00022BAE"/>
    <w:rsid w:val="00022EB0"/>
    <w:rsid w:val="00023C54"/>
    <w:rsid w:val="00023E85"/>
    <w:rsid w:val="00023F35"/>
    <w:rsid w:val="000248BA"/>
    <w:rsid w:val="00024D5B"/>
    <w:rsid w:val="00026992"/>
    <w:rsid w:val="00027538"/>
    <w:rsid w:val="000278B4"/>
    <w:rsid w:val="00027EBB"/>
    <w:rsid w:val="000302C5"/>
    <w:rsid w:val="000302D1"/>
    <w:rsid w:val="000303DB"/>
    <w:rsid w:val="00031313"/>
    <w:rsid w:val="000315BD"/>
    <w:rsid w:val="00031CB5"/>
    <w:rsid w:val="000320C2"/>
    <w:rsid w:val="00032346"/>
    <w:rsid w:val="0003256B"/>
    <w:rsid w:val="000326AD"/>
    <w:rsid w:val="00032994"/>
    <w:rsid w:val="00033056"/>
    <w:rsid w:val="00033DE2"/>
    <w:rsid w:val="00034295"/>
    <w:rsid w:val="000347F0"/>
    <w:rsid w:val="00034BDA"/>
    <w:rsid w:val="000361ED"/>
    <w:rsid w:val="00036944"/>
    <w:rsid w:val="00037774"/>
    <w:rsid w:val="00037DAF"/>
    <w:rsid w:val="00037FD7"/>
    <w:rsid w:val="00040EF4"/>
    <w:rsid w:val="00040F38"/>
    <w:rsid w:val="0004117A"/>
    <w:rsid w:val="000411ED"/>
    <w:rsid w:val="000415E8"/>
    <w:rsid w:val="00042487"/>
    <w:rsid w:val="00043C3A"/>
    <w:rsid w:val="00043D3B"/>
    <w:rsid w:val="00044376"/>
    <w:rsid w:val="000444C0"/>
    <w:rsid w:val="000446F4"/>
    <w:rsid w:val="0004478A"/>
    <w:rsid w:val="00044CD1"/>
    <w:rsid w:val="000456E8"/>
    <w:rsid w:val="00046C78"/>
    <w:rsid w:val="00047D09"/>
    <w:rsid w:val="00047D12"/>
    <w:rsid w:val="000516ED"/>
    <w:rsid w:val="00051FED"/>
    <w:rsid w:val="00052393"/>
    <w:rsid w:val="00052F4E"/>
    <w:rsid w:val="00052F83"/>
    <w:rsid w:val="00052FD8"/>
    <w:rsid w:val="0005372E"/>
    <w:rsid w:val="00054A5A"/>
    <w:rsid w:val="000552C6"/>
    <w:rsid w:val="00055B3B"/>
    <w:rsid w:val="00056425"/>
    <w:rsid w:val="0005651F"/>
    <w:rsid w:val="000565FB"/>
    <w:rsid w:val="000568FE"/>
    <w:rsid w:val="0005773F"/>
    <w:rsid w:val="0005775E"/>
    <w:rsid w:val="00057A2F"/>
    <w:rsid w:val="000603CA"/>
    <w:rsid w:val="000603DC"/>
    <w:rsid w:val="00060561"/>
    <w:rsid w:val="000605D3"/>
    <w:rsid w:val="00062107"/>
    <w:rsid w:val="00062B98"/>
    <w:rsid w:val="00062C50"/>
    <w:rsid w:val="00062D52"/>
    <w:rsid w:val="00062D90"/>
    <w:rsid w:val="000636E3"/>
    <w:rsid w:val="000639E5"/>
    <w:rsid w:val="00064127"/>
    <w:rsid w:val="00064A34"/>
    <w:rsid w:val="00065060"/>
    <w:rsid w:val="00065128"/>
    <w:rsid w:val="0006624B"/>
    <w:rsid w:val="00066ACC"/>
    <w:rsid w:val="00067778"/>
    <w:rsid w:val="00070FDE"/>
    <w:rsid w:val="000716C5"/>
    <w:rsid w:val="000717B6"/>
    <w:rsid w:val="000729DB"/>
    <w:rsid w:val="000731FC"/>
    <w:rsid w:val="00074532"/>
    <w:rsid w:val="0007480B"/>
    <w:rsid w:val="000748BB"/>
    <w:rsid w:val="00074E9A"/>
    <w:rsid w:val="00076083"/>
    <w:rsid w:val="000762CE"/>
    <w:rsid w:val="00076626"/>
    <w:rsid w:val="00076A6C"/>
    <w:rsid w:val="00076E39"/>
    <w:rsid w:val="00080311"/>
    <w:rsid w:val="00080E04"/>
    <w:rsid w:val="00081E39"/>
    <w:rsid w:val="000824CA"/>
    <w:rsid w:val="000826F5"/>
    <w:rsid w:val="00082A8F"/>
    <w:rsid w:val="00083064"/>
    <w:rsid w:val="000839EA"/>
    <w:rsid w:val="00084778"/>
    <w:rsid w:val="00085E69"/>
    <w:rsid w:val="00086009"/>
    <w:rsid w:val="000860F1"/>
    <w:rsid w:val="00086F6B"/>
    <w:rsid w:val="00086FBE"/>
    <w:rsid w:val="00087894"/>
    <w:rsid w:val="000906B0"/>
    <w:rsid w:val="000911AE"/>
    <w:rsid w:val="000923A4"/>
    <w:rsid w:val="00092591"/>
    <w:rsid w:val="000925A3"/>
    <w:rsid w:val="0009374A"/>
    <w:rsid w:val="00093B4E"/>
    <w:rsid w:val="00093D5F"/>
    <w:rsid w:val="00093E95"/>
    <w:rsid w:val="00093EA7"/>
    <w:rsid w:val="00094307"/>
    <w:rsid w:val="00094665"/>
    <w:rsid w:val="00094742"/>
    <w:rsid w:val="00094DB6"/>
    <w:rsid w:val="00094F02"/>
    <w:rsid w:val="00095B30"/>
    <w:rsid w:val="00095DBB"/>
    <w:rsid w:val="00096304"/>
    <w:rsid w:val="00096418"/>
    <w:rsid w:val="00096CE4"/>
    <w:rsid w:val="0009709D"/>
    <w:rsid w:val="000972FB"/>
    <w:rsid w:val="0009781A"/>
    <w:rsid w:val="00097C0C"/>
    <w:rsid w:val="00097C58"/>
    <w:rsid w:val="000A0860"/>
    <w:rsid w:val="000A0BF8"/>
    <w:rsid w:val="000A13BC"/>
    <w:rsid w:val="000A17AA"/>
    <w:rsid w:val="000A1A70"/>
    <w:rsid w:val="000A1E9A"/>
    <w:rsid w:val="000A2255"/>
    <w:rsid w:val="000A29F1"/>
    <w:rsid w:val="000A2D21"/>
    <w:rsid w:val="000A31D3"/>
    <w:rsid w:val="000A3438"/>
    <w:rsid w:val="000A5937"/>
    <w:rsid w:val="000A5FE6"/>
    <w:rsid w:val="000A631E"/>
    <w:rsid w:val="000A64C6"/>
    <w:rsid w:val="000A683B"/>
    <w:rsid w:val="000A7AD2"/>
    <w:rsid w:val="000A7CE1"/>
    <w:rsid w:val="000B0096"/>
    <w:rsid w:val="000B0A12"/>
    <w:rsid w:val="000B1024"/>
    <w:rsid w:val="000B1E9E"/>
    <w:rsid w:val="000B232A"/>
    <w:rsid w:val="000B24A2"/>
    <w:rsid w:val="000B269F"/>
    <w:rsid w:val="000B2C80"/>
    <w:rsid w:val="000B34CA"/>
    <w:rsid w:val="000B3A9E"/>
    <w:rsid w:val="000B3C0B"/>
    <w:rsid w:val="000B3C4F"/>
    <w:rsid w:val="000B3CC5"/>
    <w:rsid w:val="000B3FE6"/>
    <w:rsid w:val="000B41ED"/>
    <w:rsid w:val="000B434F"/>
    <w:rsid w:val="000B4CD7"/>
    <w:rsid w:val="000B50B7"/>
    <w:rsid w:val="000B51B3"/>
    <w:rsid w:val="000B5F9F"/>
    <w:rsid w:val="000B6049"/>
    <w:rsid w:val="000B714F"/>
    <w:rsid w:val="000C05AF"/>
    <w:rsid w:val="000C0635"/>
    <w:rsid w:val="000C0747"/>
    <w:rsid w:val="000C0B44"/>
    <w:rsid w:val="000C110A"/>
    <w:rsid w:val="000C1135"/>
    <w:rsid w:val="000C131A"/>
    <w:rsid w:val="000C1458"/>
    <w:rsid w:val="000C1CDB"/>
    <w:rsid w:val="000C20CE"/>
    <w:rsid w:val="000C21E6"/>
    <w:rsid w:val="000C25F8"/>
    <w:rsid w:val="000C2D8F"/>
    <w:rsid w:val="000C3022"/>
    <w:rsid w:val="000C3689"/>
    <w:rsid w:val="000C381D"/>
    <w:rsid w:val="000C46D1"/>
    <w:rsid w:val="000C4A45"/>
    <w:rsid w:val="000C4CD2"/>
    <w:rsid w:val="000C4D16"/>
    <w:rsid w:val="000C4DC5"/>
    <w:rsid w:val="000C5415"/>
    <w:rsid w:val="000C61DC"/>
    <w:rsid w:val="000C6CB3"/>
    <w:rsid w:val="000C76A8"/>
    <w:rsid w:val="000C7756"/>
    <w:rsid w:val="000C7857"/>
    <w:rsid w:val="000C7A81"/>
    <w:rsid w:val="000C7D16"/>
    <w:rsid w:val="000D10D7"/>
    <w:rsid w:val="000D1797"/>
    <w:rsid w:val="000D1AB3"/>
    <w:rsid w:val="000D253B"/>
    <w:rsid w:val="000D2C23"/>
    <w:rsid w:val="000D345B"/>
    <w:rsid w:val="000D3CD3"/>
    <w:rsid w:val="000D3FD5"/>
    <w:rsid w:val="000D4027"/>
    <w:rsid w:val="000D4928"/>
    <w:rsid w:val="000D4936"/>
    <w:rsid w:val="000D4C5E"/>
    <w:rsid w:val="000D50DD"/>
    <w:rsid w:val="000D53D8"/>
    <w:rsid w:val="000D5ABA"/>
    <w:rsid w:val="000D608E"/>
    <w:rsid w:val="000D6A90"/>
    <w:rsid w:val="000E088D"/>
    <w:rsid w:val="000E10F5"/>
    <w:rsid w:val="000E279E"/>
    <w:rsid w:val="000E32CA"/>
    <w:rsid w:val="000E3567"/>
    <w:rsid w:val="000E37F3"/>
    <w:rsid w:val="000E4931"/>
    <w:rsid w:val="000E55D3"/>
    <w:rsid w:val="000E6514"/>
    <w:rsid w:val="000E653F"/>
    <w:rsid w:val="000E6F01"/>
    <w:rsid w:val="000E78D8"/>
    <w:rsid w:val="000E78EC"/>
    <w:rsid w:val="000E7D84"/>
    <w:rsid w:val="000F0EE3"/>
    <w:rsid w:val="000F0F87"/>
    <w:rsid w:val="000F1498"/>
    <w:rsid w:val="000F16F3"/>
    <w:rsid w:val="000F19BC"/>
    <w:rsid w:val="000F2C2D"/>
    <w:rsid w:val="000F3A03"/>
    <w:rsid w:val="000F4297"/>
    <w:rsid w:val="000F4B1A"/>
    <w:rsid w:val="000F4DA7"/>
    <w:rsid w:val="000F62FD"/>
    <w:rsid w:val="000F63BF"/>
    <w:rsid w:val="000F66C8"/>
    <w:rsid w:val="000F75BA"/>
    <w:rsid w:val="000F773B"/>
    <w:rsid w:val="000F7844"/>
    <w:rsid w:val="000F7AB6"/>
    <w:rsid w:val="000F7CA4"/>
    <w:rsid w:val="001003EC"/>
    <w:rsid w:val="0010094B"/>
    <w:rsid w:val="0010098A"/>
    <w:rsid w:val="00100B69"/>
    <w:rsid w:val="00100ECE"/>
    <w:rsid w:val="00101B3D"/>
    <w:rsid w:val="00101B6A"/>
    <w:rsid w:val="00101F79"/>
    <w:rsid w:val="00102267"/>
    <w:rsid w:val="001029FF"/>
    <w:rsid w:val="00102AA2"/>
    <w:rsid w:val="00102ADF"/>
    <w:rsid w:val="0010379D"/>
    <w:rsid w:val="00103BD4"/>
    <w:rsid w:val="00103C4D"/>
    <w:rsid w:val="001046D8"/>
    <w:rsid w:val="0010482C"/>
    <w:rsid w:val="0010483E"/>
    <w:rsid w:val="00106282"/>
    <w:rsid w:val="00106CB2"/>
    <w:rsid w:val="00106CDA"/>
    <w:rsid w:val="001079CE"/>
    <w:rsid w:val="00107A33"/>
    <w:rsid w:val="00107F1C"/>
    <w:rsid w:val="00110CC6"/>
    <w:rsid w:val="00111B9E"/>
    <w:rsid w:val="00111EAE"/>
    <w:rsid w:val="0011235F"/>
    <w:rsid w:val="0011236E"/>
    <w:rsid w:val="001127C4"/>
    <w:rsid w:val="00112837"/>
    <w:rsid w:val="00112AFB"/>
    <w:rsid w:val="001137F7"/>
    <w:rsid w:val="00113B72"/>
    <w:rsid w:val="00113CFD"/>
    <w:rsid w:val="0011429A"/>
    <w:rsid w:val="001142BD"/>
    <w:rsid w:val="00114921"/>
    <w:rsid w:val="00114C1C"/>
    <w:rsid w:val="00114CED"/>
    <w:rsid w:val="00114D32"/>
    <w:rsid w:val="00114EE2"/>
    <w:rsid w:val="00114F2A"/>
    <w:rsid w:val="0011572A"/>
    <w:rsid w:val="00115990"/>
    <w:rsid w:val="00116F47"/>
    <w:rsid w:val="0011701F"/>
    <w:rsid w:val="001176F7"/>
    <w:rsid w:val="00120C26"/>
    <w:rsid w:val="001216A8"/>
    <w:rsid w:val="00122656"/>
    <w:rsid w:val="00122C79"/>
    <w:rsid w:val="00123536"/>
    <w:rsid w:val="00124264"/>
    <w:rsid w:val="00124A34"/>
    <w:rsid w:val="00125BB3"/>
    <w:rsid w:val="00127168"/>
    <w:rsid w:val="0012728F"/>
    <w:rsid w:val="001277C2"/>
    <w:rsid w:val="00127859"/>
    <w:rsid w:val="00130035"/>
    <w:rsid w:val="0013050A"/>
    <w:rsid w:val="00130B44"/>
    <w:rsid w:val="00130C7E"/>
    <w:rsid w:val="0013176E"/>
    <w:rsid w:val="0013203F"/>
    <w:rsid w:val="00133D50"/>
    <w:rsid w:val="00134064"/>
    <w:rsid w:val="00134348"/>
    <w:rsid w:val="00135357"/>
    <w:rsid w:val="001359DB"/>
    <w:rsid w:val="001359F5"/>
    <w:rsid w:val="00135D57"/>
    <w:rsid w:val="00136511"/>
    <w:rsid w:val="00136FED"/>
    <w:rsid w:val="001370C8"/>
    <w:rsid w:val="001371E0"/>
    <w:rsid w:val="001377F0"/>
    <w:rsid w:val="001379E0"/>
    <w:rsid w:val="00140A0A"/>
    <w:rsid w:val="00140A27"/>
    <w:rsid w:val="001416CD"/>
    <w:rsid w:val="00141A5C"/>
    <w:rsid w:val="00141D73"/>
    <w:rsid w:val="00141E56"/>
    <w:rsid w:val="00141F86"/>
    <w:rsid w:val="00142424"/>
    <w:rsid w:val="001428E6"/>
    <w:rsid w:val="00142BE3"/>
    <w:rsid w:val="00142E66"/>
    <w:rsid w:val="00143923"/>
    <w:rsid w:val="00144017"/>
    <w:rsid w:val="001440D6"/>
    <w:rsid w:val="00144591"/>
    <w:rsid w:val="001445B5"/>
    <w:rsid w:val="001446FE"/>
    <w:rsid w:val="00144791"/>
    <w:rsid w:val="0014538A"/>
    <w:rsid w:val="0014556A"/>
    <w:rsid w:val="00145775"/>
    <w:rsid w:val="00145875"/>
    <w:rsid w:val="001458DB"/>
    <w:rsid w:val="00145978"/>
    <w:rsid w:val="001459A6"/>
    <w:rsid w:val="00145EE8"/>
    <w:rsid w:val="00145FCE"/>
    <w:rsid w:val="001463C1"/>
    <w:rsid w:val="001466A4"/>
    <w:rsid w:val="0014780C"/>
    <w:rsid w:val="00147A74"/>
    <w:rsid w:val="001502A3"/>
    <w:rsid w:val="0015096C"/>
    <w:rsid w:val="00150C15"/>
    <w:rsid w:val="00150E38"/>
    <w:rsid w:val="00151238"/>
    <w:rsid w:val="0015194B"/>
    <w:rsid w:val="00151C9E"/>
    <w:rsid w:val="00151FFB"/>
    <w:rsid w:val="00152A53"/>
    <w:rsid w:val="00152D25"/>
    <w:rsid w:val="00153253"/>
    <w:rsid w:val="00153A17"/>
    <w:rsid w:val="00153D22"/>
    <w:rsid w:val="001541C3"/>
    <w:rsid w:val="0015486F"/>
    <w:rsid w:val="00154FFD"/>
    <w:rsid w:val="001567A1"/>
    <w:rsid w:val="001579A5"/>
    <w:rsid w:val="00157F73"/>
    <w:rsid w:val="001606B5"/>
    <w:rsid w:val="00160E83"/>
    <w:rsid w:val="001619A9"/>
    <w:rsid w:val="00161E32"/>
    <w:rsid w:val="0016217D"/>
    <w:rsid w:val="0016274A"/>
    <w:rsid w:val="00163338"/>
    <w:rsid w:val="001638B0"/>
    <w:rsid w:val="00163F0C"/>
    <w:rsid w:val="00164616"/>
    <w:rsid w:val="001650AE"/>
    <w:rsid w:val="0016523D"/>
    <w:rsid w:val="00165532"/>
    <w:rsid w:val="00165723"/>
    <w:rsid w:val="00165ADC"/>
    <w:rsid w:val="001661F7"/>
    <w:rsid w:val="001665FF"/>
    <w:rsid w:val="00167461"/>
    <w:rsid w:val="001675E5"/>
    <w:rsid w:val="00167662"/>
    <w:rsid w:val="00167E76"/>
    <w:rsid w:val="00167F90"/>
    <w:rsid w:val="001705AF"/>
    <w:rsid w:val="001714AF"/>
    <w:rsid w:val="00171511"/>
    <w:rsid w:val="0017223B"/>
    <w:rsid w:val="00172701"/>
    <w:rsid w:val="001732DD"/>
    <w:rsid w:val="001735C3"/>
    <w:rsid w:val="00175256"/>
    <w:rsid w:val="00175AB9"/>
    <w:rsid w:val="0017686E"/>
    <w:rsid w:val="00176B19"/>
    <w:rsid w:val="001774C5"/>
    <w:rsid w:val="0017757C"/>
    <w:rsid w:val="00177657"/>
    <w:rsid w:val="00177955"/>
    <w:rsid w:val="0018026B"/>
    <w:rsid w:val="00180D88"/>
    <w:rsid w:val="00180F8A"/>
    <w:rsid w:val="0018112E"/>
    <w:rsid w:val="00181548"/>
    <w:rsid w:val="00181A14"/>
    <w:rsid w:val="00181A24"/>
    <w:rsid w:val="00181C10"/>
    <w:rsid w:val="001825BA"/>
    <w:rsid w:val="00182842"/>
    <w:rsid w:val="00183209"/>
    <w:rsid w:val="0018396E"/>
    <w:rsid w:val="00184320"/>
    <w:rsid w:val="00184E4A"/>
    <w:rsid w:val="00184F1C"/>
    <w:rsid w:val="00185305"/>
    <w:rsid w:val="00185C9A"/>
    <w:rsid w:val="0018600A"/>
    <w:rsid w:val="00186050"/>
    <w:rsid w:val="001864EA"/>
    <w:rsid w:val="00186EC3"/>
    <w:rsid w:val="001871BE"/>
    <w:rsid w:val="001878D9"/>
    <w:rsid w:val="00187AD8"/>
    <w:rsid w:val="00187F42"/>
    <w:rsid w:val="00187F45"/>
    <w:rsid w:val="00190740"/>
    <w:rsid w:val="0019081D"/>
    <w:rsid w:val="00190B44"/>
    <w:rsid w:val="0019146B"/>
    <w:rsid w:val="00191BC4"/>
    <w:rsid w:val="00191D2F"/>
    <w:rsid w:val="001924CF"/>
    <w:rsid w:val="00192AF0"/>
    <w:rsid w:val="0019422A"/>
    <w:rsid w:val="00194402"/>
    <w:rsid w:val="00194A89"/>
    <w:rsid w:val="00194B51"/>
    <w:rsid w:val="0019527A"/>
    <w:rsid w:val="001954CC"/>
    <w:rsid w:val="0019558E"/>
    <w:rsid w:val="001964DA"/>
    <w:rsid w:val="00196675"/>
    <w:rsid w:val="00196F07"/>
    <w:rsid w:val="00197956"/>
    <w:rsid w:val="00197A75"/>
    <w:rsid w:val="001A0A09"/>
    <w:rsid w:val="001A1A5F"/>
    <w:rsid w:val="001A232E"/>
    <w:rsid w:val="001A2683"/>
    <w:rsid w:val="001A2822"/>
    <w:rsid w:val="001A3385"/>
    <w:rsid w:val="001A346E"/>
    <w:rsid w:val="001A360C"/>
    <w:rsid w:val="001A422C"/>
    <w:rsid w:val="001A5102"/>
    <w:rsid w:val="001A5448"/>
    <w:rsid w:val="001A5508"/>
    <w:rsid w:val="001A56ED"/>
    <w:rsid w:val="001A59C7"/>
    <w:rsid w:val="001A5A7C"/>
    <w:rsid w:val="001A5F34"/>
    <w:rsid w:val="001A63ED"/>
    <w:rsid w:val="001A68F9"/>
    <w:rsid w:val="001A6B27"/>
    <w:rsid w:val="001A7914"/>
    <w:rsid w:val="001B025D"/>
    <w:rsid w:val="001B0596"/>
    <w:rsid w:val="001B0783"/>
    <w:rsid w:val="001B1417"/>
    <w:rsid w:val="001B1726"/>
    <w:rsid w:val="001B19F7"/>
    <w:rsid w:val="001B2935"/>
    <w:rsid w:val="001B2FA1"/>
    <w:rsid w:val="001B3228"/>
    <w:rsid w:val="001B3651"/>
    <w:rsid w:val="001B377B"/>
    <w:rsid w:val="001B3C81"/>
    <w:rsid w:val="001B582F"/>
    <w:rsid w:val="001B65D2"/>
    <w:rsid w:val="001B6B2F"/>
    <w:rsid w:val="001B76E5"/>
    <w:rsid w:val="001C0347"/>
    <w:rsid w:val="001C08D6"/>
    <w:rsid w:val="001C0924"/>
    <w:rsid w:val="001C0ACA"/>
    <w:rsid w:val="001C0BCC"/>
    <w:rsid w:val="001C1A3B"/>
    <w:rsid w:val="001C1D80"/>
    <w:rsid w:val="001C1E32"/>
    <w:rsid w:val="001C24A9"/>
    <w:rsid w:val="001C278D"/>
    <w:rsid w:val="001C2F67"/>
    <w:rsid w:val="001C3285"/>
    <w:rsid w:val="001C34D9"/>
    <w:rsid w:val="001C3685"/>
    <w:rsid w:val="001C3EC2"/>
    <w:rsid w:val="001C41E5"/>
    <w:rsid w:val="001C4885"/>
    <w:rsid w:val="001C48D3"/>
    <w:rsid w:val="001C4DBB"/>
    <w:rsid w:val="001C5295"/>
    <w:rsid w:val="001C5809"/>
    <w:rsid w:val="001C66A7"/>
    <w:rsid w:val="001C7166"/>
    <w:rsid w:val="001C73AF"/>
    <w:rsid w:val="001C7FFA"/>
    <w:rsid w:val="001D012F"/>
    <w:rsid w:val="001D0992"/>
    <w:rsid w:val="001D1195"/>
    <w:rsid w:val="001D152C"/>
    <w:rsid w:val="001D1A8D"/>
    <w:rsid w:val="001D1AAC"/>
    <w:rsid w:val="001D1C85"/>
    <w:rsid w:val="001D22E5"/>
    <w:rsid w:val="001D2B80"/>
    <w:rsid w:val="001D3093"/>
    <w:rsid w:val="001D3922"/>
    <w:rsid w:val="001D3990"/>
    <w:rsid w:val="001D3D84"/>
    <w:rsid w:val="001D4275"/>
    <w:rsid w:val="001D4589"/>
    <w:rsid w:val="001D4841"/>
    <w:rsid w:val="001D4A5D"/>
    <w:rsid w:val="001D4A86"/>
    <w:rsid w:val="001D56FF"/>
    <w:rsid w:val="001D6076"/>
    <w:rsid w:val="001D60F1"/>
    <w:rsid w:val="001D6990"/>
    <w:rsid w:val="001D6A2B"/>
    <w:rsid w:val="001D711B"/>
    <w:rsid w:val="001D7D2A"/>
    <w:rsid w:val="001E03B1"/>
    <w:rsid w:val="001E0418"/>
    <w:rsid w:val="001E0569"/>
    <w:rsid w:val="001E1B01"/>
    <w:rsid w:val="001E1BEA"/>
    <w:rsid w:val="001E220D"/>
    <w:rsid w:val="001E24E8"/>
    <w:rsid w:val="001E26B3"/>
    <w:rsid w:val="001E2FBB"/>
    <w:rsid w:val="001E3A87"/>
    <w:rsid w:val="001E3AE6"/>
    <w:rsid w:val="001E3EE4"/>
    <w:rsid w:val="001E430D"/>
    <w:rsid w:val="001E4AB6"/>
    <w:rsid w:val="001E52ED"/>
    <w:rsid w:val="001E534C"/>
    <w:rsid w:val="001E561F"/>
    <w:rsid w:val="001E6172"/>
    <w:rsid w:val="001E65DA"/>
    <w:rsid w:val="001E6E09"/>
    <w:rsid w:val="001E7184"/>
    <w:rsid w:val="001E7D22"/>
    <w:rsid w:val="001E7D49"/>
    <w:rsid w:val="001F0B94"/>
    <w:rsid w:val="001F0F54"/>
    <w:rsid w:val="001F151B"/>
    <w:rsid w:val="001F1732"/>
    <w:rsid w:val="001F184D"/>
    <w:rsid w:val="001F18B7"/>
    <w:rsid w:val="001F350C"/>
    <w:rsid w:val="001F3A3E"/>
    <w:rsid w:val="001F3C7C"/>
    <w:rsid w:val="001F434D"/>
    <w:rsid w:val="001F4864"/>
    <w:rsid w:val="001F4B10"/>
    <w:rsid w:val="001F4CB3"/>
    <w:rsid w:val="001F4EC8"/>
    <w:rsid w:val="001F5084"/>
    <w:rsid w:val="001F5BF2"/>
    <w:rsid w:val="001F5D31"/>
    <w:rsid w:val="001F66A0"/>
    <w:rsid w:val="00200AD2"/>
    <w:rsid w:val="00201246"/>
    <w:rsid w:val="002019F1"/>
    <w:rsid w:val="00201D86"/>
    <w:rsid w:val="00201DF3"/>
    <w:rsid w:val="00202E2B"/>
    <w:rsid w:val="00202F74"/>
    <w:rsid w:val="00205114"/>
    <w:rsid w:val="00205374"/>
    <w:rsid w:val="00205566"/>
    <w:rsid w:val="00205844"/>
    <w:rsid w:val="00205B55"/>
    <w:rsid w:val="0020648A"/>
    <w:rsid w:val="00206702"/>
    <w:rsid w:val="00206B24"/>
    <w:rsid w:val="00206DB4"/>
    <w:rsid w:val="00207693"/>
    <w:rsid w:val="0020774F"/>
    <w:rsid w:val="00210138"/>
    <w:rsid w:val="0021026E"/>
    <w:rsid w:val="0021033A"/>
    <w:rsid w:val="00210796"/>
    <w:rsid w:val="00210B2E"/>
    <w:rsid w:val="002111D0"/>
    <w:rsid w:val="00212A08"/>
    <w:rsid w:val="00212FDC"/>
    <w:rsid w:val="002130F2"/>
    <w:rsid w:val="0021326E"/>
    <w:rsid w:val="00213987"/>
    <w:rsid w:val="00213B5F"/>
    <w:rsid w:val="00213D4E"/>
    <w:rsid w:val="0021425A"/>
    <w:rsid w:val="00214262"/>
    <w:rsid w:val="00214B41"/>
    <w:rsid w:val="00215ED3"/>
    <w:rsid w:val="002161C0"/>
    <w:rsid w:val="00216405"/>
    <w:rsid w:val="00216872"/>
    <w:rsid w:val="002169B0"/>
    <w:rsid w:val="00216E80"/>
    <w:rsid w:val="0021738F"/>
    <w:rsid w:val="002178B2"/>
    <w:rsid w:val="00220420"/>
    <w:rsid w:val="00220778"/>
    <w:rsid w:val="00220D6B"/>
    <w:rsid w:val="0022160A"/>
    <w:rsid w:val="002217D6"/>
    <w:rsid w:val="0022197F"/>
    <w:rsid w:val="00221F12"/>
    <w:rsid w:val="00221F54"/>
    <w:rsid w:val="002240CD"/>
    <w:rsid w:val="002240F5"/>
    <w:rsid w:val="002246C1"/>
    <w:rsid w:val="00224723"/>
    <w:rsid w:val="00224947"/>
    <w:rsid w:val="00224B5B"/>
    <w:rsid w:val="00224EAE"/>
    <w:rsid w:val="00224EC1"/>
    <w:rsid w:val="002250B0"/>
    <w:rsid w:val="0022561A"/>
    <w:rsid w:val="00225A4E"/>
    <w:rsid w:val="00225EF5"/>
    <w:rsid w:val="00225F1D"/>
    <w:rsid w:val="00226451"/>
    <w:rsid w:val="00227AB1"/>
    <w:rsid w:val="00230171"/>
    <w:rsid w:val="002302E7"/>
    <w:rsid w:val="002308D0"/>
    <w:rsid w:val="00230B23"/>
    <w:rsid w:val="00230FEF"/>
    <w:rsid w:val="002314EB"/>
    <w:rsid w:val="002318B6"/>
    <w:rsid w:val="00231DDB"/>
    <w:rsid w:val="00232AE4"/>
    <w:rsid w:val="00232CB1"/>
    <w:rsid w:val="002333D2"/>
    <w:rsid w:val="00233541"/>
    <w:rsid w:val="0023366B"/>
    <w:rsid w:val="0023378D"/>
    <w:rsid w:val="00233C44"/>
    <w:rsid w:val="00234A67"/>
    <w:rsid w:val="00234C79"/>
    <w:rsid w:val="00235A44"/>
    <w:rsid w:val="00235CF6"/>
    <w:rsid w:val="00235F5A"/>
    <w:rsid w:val="002367A1"/>
    <w:rsid w:val="00237436"/>
    <w:rsid w:val="002377EA"/>
    <w:rsid w:val="002379CC"/>
    <w:rsid w:val="00237CB3"/>
    <w:rsid w:val="00240572"/>
    <w:rsid w:val="00240D49"/>
    <w:rsid w:val="00240EE8"/>
    <w:rsid w:val="00241164"/>
    <w:rsid w:val="002412F7"/>
    <w:rsid w:val="00241632"/>
    <w:rsid w:val="00241D0C"/>
    <w:rsid w:val="0024265A"/>
    <w:rsid w:val="002433AD"/>
    <w:rsid w:val="0024354A"/>
    <w:rsid w:val="002439FF"/>
    <w:rsid w:val="00243D97"/>
    <w:rsid w:val="00243F56"/>
    <w:rsid w:val="002446F7"/>
    <w:rsid w:val="00244BE6"/>
    <w:rsid w:val="0024502F"/>
    <w:rsid w:val="00245AC7"/>
    <w:rsid w:val="00245C11"/>
    <w:rsid w:val="00246678"/>
    <w:rsid w:val="00246C9A"/>
    <w:rsid w:val="00246D10"/>
    <w:rsid w:val="00246FB5"/>
    <w:rsid w:val="002470F8"/>
    <w:rsid w:val="002471B5"/>
    <w:rsid w:val="00247983"/>
    <w:rsid w:val="002500A5"/>
    <w:rsid w:val="00250428"/>
    <w:rsid w:val="00250832"/>
    <w:rsid w:val="00250F63"/>
    <w:rsid w:val="00251480"/>
    <w:rsid w:val="0025160A"/>
    <w:rsid w:val="00251862"/>
    <w:rsid w:val="00252035"/>
    <w:rsid w:val="002522F1"/>
    <w:rsid w:val="00253ACD"/>
    <w:rsid w:val="00254385"/>
    <w:rsid w:val="00254998"/>
    <w:rsid w:val="00254BD4"/>
    <w:rsid w:val="00255149"/>
    <w:rsid w:val="0025583B"/>
    <w:rsid w:val="00255EC7"/>
    <w:rsid w:val="0025622E"/>
    <w:rsid w:val="0025651A"/>
    <w:rsid w:val="00256E67"/>
    <w:rsid w:val="0025731B"/>
    <w:rsid w:val="00257917"/>
    <w:rsid w:val="00257A78"/>
    <w:rsid w:val="00257EAB"/>
    <w:rsid w:val="00260036"/>
    <w:rsid w:val="002601B5"/>
    <w:rsid w:val="002601E5"/>
    <w:rsid w:val="0026052D"/>
    <w:rsid w:val="00260707"/>
    <w:rsid w:val="00260953"/>
    <w:rsid w:val="00260A25"/>
    <w:rsid w:val="00260B19"/>
    <w:rsid w:val="00261C3B"/>
    <w:rsid w:val="00263825"/>
    <w:rsid w:val="00263B0A"/>
    <w:rsid w:val="00263D06"/>
    <w:rsid w:val="00264273"/>
    <w:rsid w:val="002644FB"/>
    <w:rsid w:val="0026455F"/>
    <w:rsid w:val="00265823"/>
    <w:rsid w:val="00265B8D"/>
    <w:rsid w:val="00265C1F"/>
    <w:rsid w:val="00266026"/>
    <w:rsid w:val="00266A0B"/>
    <w:rsid w:val="00266C14"/>
    <w:rsid w:val="00266C82"/>
    <w:rsid w:val="00267296"/>
    <w:rsid w:val="00267D11"/>
    <w:rsid w:val="00267D7F"/>
    <w:rsid w:val="0027087F"/>
    <w:rsid w:val="0027164F"/>
    <w:rsid w:val="0027173E"/>
    <w:rsid w:val="00272765"/>
    <w:rsid w:val="00273BDC"/>
    <w:rsid w:val="00273C25"/>
    <w:rsid w:val="00273C8C"/>
    <w:rsid w:val="00273E33"/>
    <w:rsid w:val="00274143"/>
    <w:rsid w:val="002744B4"/>
    <w:rsid w:val="002745BD"/>
    <w:rsid w:val="002758C8"/>
    <w:rsid w:val="00275EA2"/>
    <w:rsid w:val="00275F58"/>
    <w:rsid w:val="00276CAF"/>
    <w:rsid w:val="002776D9"/>
    <w:rsid w:val="00281E16"/>
    <w:rsid w:val="002821B7"/>
    <w:rsid w:val="00282377"/>
    <w:rsid w:val="00282868"/>
    <w:rsid w:val="00282D8D"/>
    <w:rsid w:val="00283137"/>
    <w:rsid w:val="00283866"/>
    <w:rsid w:val="00284811"/>
    <w:rsid w:val="002848A3"/>
    <w:rsid w:val="00284AFA"/>
    <w:rsid w:val="00284F92"/>
    <w:rsid w:val="00285D07"/>
    <w:rsid w:val="00285EFE"/>
    <w:rsid w:val="00286E6A"/>
    <w:rsid w:val="00286E9A"/>
    <w:rsid w:val="00287526"/>
    <w:rsid w:val="00287B47"/>
    <w:rsid w:val="00287D2D"/>
    <w:rsid w:val="0029125D"/>
    <w:rsid w:val="00291948"/>
    <w:rsid w:val="00292E3B"/>
    <w:rsid w:val="00292F2B"/>
    <w:rsid w:val="002931B4"/>
    <w:rsid w:val="0029324F"/>
    <w:rsid w:val="00294211"/>
    <w:rsid w:val="00294418"/>
    <w:rsid w:val="0029454A"/>
    <w:rsid w:val="00295AAF"/>
    <w:rsid w:val="00296053"/>
    <w:rsid w:val="002963AB"/>
    <w:rsid w:val="002966AE"/>
    <w:rsid w:val="00296FA4"/>
    <w:rsid w:val="0029712D"/>
    <w:rsid w:val="002971C1"/>
    <w:rsid w:val="002A030D"/>
    <w:rsid w:val="002A0560"/>
    <w:rsid w:val="002A0C78"/>
    <w:rsid w:val="002A0CEB"/>
    <w:rsid w:val="002A10E7"/>
    <w:rsid w:val="002A184B"/>
    <w:rsid w:val="002A2C26"/>
    <w:rsid w:val="002A3398"/>
    <w:rsid w:val="002A40E8"/>
    <w:rsid w:val="002A4569"/>
    <w:rsid w:val="002A468D"/>
    <w:rsid w:val="002A46C6"/>
    <w:rsid w:val="002A4713"/>
    <w:rsid w:val="002A50BC"/>
    <w:rsid w:val="002A553F"/>
    <w:rsid w:val="002A5BDC"/>
    <w:rsid w:val="002A5CB7"/>
    <w:rsid w:val="002A5CF4"/>
    <w:rsid w:val="002A6451"/>
    <w:rsid w:val="002A798A"/>
    <w:rsid w:val="002B0894"/>
    <w:rsid w:val="002B0B4E"/>
    <w:rsid w:val="002B1574"/>
    <w:rsid w:val="002B20AC"/>
    <w:rsid w:val="002B214A"/>
    <w:rsid w:val="002B227D"/>
    <w:rsid w:val="002B2CD1"/>
    <w:rsid w:val="002B32B2"/>
    <w:rsid w:val="002B48D6"/>
    <w:rsid w:val="002B4B29"/>
    <w:rsid w:val="002B5B8F"/>
    <w:rsid w:val="002B696D"/>
    <w:rsid w:val="002B71E4"/>
    <w:rsid w:val="002B72CF"/>
    <w:rsid w:val="002C0801"/>
    <w:rsid w:val="002C08D8"/>
    <w:rsid w:val="002C1002"/>
    <w:rsid w:val="002C14BC"/>
    <w:rsid w:val="002C16EE"/>
    <w:rsid w:val="002C1781"/>
    <w:rsid w:val="002C17F8"/>
    <w:rsid w:val="002C2059"/>
    <w:rsid w:val="002C20E7"/>
    <w:rsid w:val="002C2427"/>
    <w:rsid w:val="002C2990"/>
    <w:rsid w:val="002C3805"/>
    <w:rsid w:val="002C4ECE"/>
    <w:rsid w:val="002C5032"/>
    <w:rsid w:val="002C64F5"/>
    <w:rsid w:val="002C6736"/>
    <w:rsid w:val="002C6D50"/>
    <w:rsid w:val="002C7052"/>
    <w:rsid w:val="002C78CC"/>
    <w:rsid w:val="002D00A3"/>
    <w:rsid w:val="002D063E"/>
    <w:rsid w:val="002D08D1"/>
    <w:rsid w:val="002D11C9"/>
    <w:rsid w:val="002D14E3"/>
    <w:rsid w:val="002D235A"/>
    <w:rsid w:val="002D26B0"/>
    <w:rsid w:val="002D2846"/>
    <w:rsid w:val="002D33A8"/>
    <w:rsid w:val="002D3535"/>
    <w:rsid w:val="002D3796"/>
    <w:rsid w:val="002D39BC"/>
    <w:rsid w:val="002D4225"/>
    <w:rsid w:val="002D5AD7"/>
    <w:rsid w:val="002D5DBC"/>
    <w:rsid w:val="002D6355"/>
    <w:rsid w:val="002D73CD"/>
    <w:rsid w:val="002E01CB"/>
    <w:rsid w:val="002E11A3"/>
    <w:rsid w:val="002E144E"/>
    <w:rsid w:val="002E2181"/>
    <w:rsid w:val="002E22B6"/>
    <w:rsid w:val="002E2BF8"/>
    <w:rsid w:val="002E330C"/>
    <w:rsid w:val="002E3765"/>
    <w:rsid w:val="002E431E"/>
    <w:rsid w:val="002E4447"/>
    <w:rsid w:val="002E5254"/>
    <w:rsid w:val="002E5B07"/>
    <w:rsid w:val="002E5BCF"/>
    <w:rsid w:val="002E681C"/>
    <w:rsid w:val="002E6B1D"/>
    <w:rsid w:val="002E7A26"/>
    <w:rsid w:val="002F027D"/>
    <w:rsid w:val="002F02DA"/>
    <w:rsid w:val="002F0523"/>
    <w:rsid w:val="002F0992"/>
    <w:rsid w:val="002F09BB"/>
    <w:rsid w:val="002F0D01"/>
    <w:rsid w:val="002F0FDD"/>
    <w:rsid w:val="002F142F"/>
    <w:rsid w:val="002F1A10"/>
    <w:rsid w:val="002F279E"/>
    <w:rsid w:val="002F28AE"/>
    <w:rsid w:val="002F2B81"/>
    <w:rsid w:val="002F2C6B"/>
    <w:rsid w:val="002F2FC0"/>
    <w:rsid w:val="002F35C3"/>
    <w:rsid w:val="002F3999"/>
    <w:rsid w:val="002F435A"/>
    <w:rsid w:val="002F4FCF"/>
    <w:rsid w:val="002F5455"/>
    <w:rsid w:val="002F5904"/>
    <w:rsid w:val="002F5DBE"/>
    <w:rsid w:val="002F616F"/>
    <w:rsid w:val="002F652C"/>
    <w:rsid w:val="002F6816"/>
    <w:rsid w:val="002F6DB7"/>
    <w:rsid w:val="002F75B3"/>
    <w:rsid w:val="002F7C65"/>
    <w:rsid w:val="003009A9"/>
    <w:rsid w:val="00300B31"/>
    <w:rsid w:val="00301100"/>
    <w:rsid w:val="00301266"/>
    <w:rsid w:val="003027C9"/>
    <w:rsid w:val="00302E11"/>
    <w:rsid w:val="0030303F"/>
    <w:rsid w:val="003034A4"/>
    <w:rsid w:val="003035B7"/>
    <w:rsid w:val="003036BB"/>
    <w:rsid w:val="00303B63"/>
    <w:rsid w:val="003041FE"/>
    <w:rsid w:val="0030436E"/>
    <w:rsid w:val="003044B3"/>
    <w:rsid w:val="00304F46"/>
    <w:rsid w:val="003056F7"/>
    <w:rsid w:val="00307501"/>
    <w:rsid w:val="00307868"/>
    <w:rsid w:val="00310A92"/>
    <w:rsid w:val="00311B7B"/>
    <w:rsid w:val="00312737"/>
    <w:rsid w:val="00312D8A"/>
    <w:rsid w:val="00312EBA"/>
    <w:rsid w:val="00313324"/>
    <w:rsid w:val="003138ED"/>
    <w:rsid w:val="00313E5D"/>
    <w:rsid w:val="0031421D"/>
    <w:rsid w:val="00314A3E"/>
    <w:rsid w:val="00314D90"/>
    <w:rsid w:val="00315039"/>
    <w:rsid w:val="003159F3"/>
    <w:rsid w:val="00315C70"/>
    <w:rsid w:val="003160F5"/>
    <w:rsid w:val="00316EA7"/>
    <w:rsid w:val="00317B20"/>
    <w:rsid w:val="00320835"/>
    <w:rsid w:val="00320DA6"/>
    <w:rsid w:val="00321216"/>
    <w:rsid w:val="003215DF"/>
    <w:rsid w:val="00321C75"/>
    <w:rsid w:val="00322E3C"/>
    <w:rsid w:val="00323DA5"/>
    <w:rsid w:val="00324007"/>
    <w:rsid w:val="003240FE"/>
    <w:rsid w:val="0032477B"/>
    <w:rsid w:val="003247A1"/>
    <w:rsid w:val="0032593A"/>
    <w:rsid w:val="00325D5C"/>
    <w:rsid w:val="00325E5D"/>
    <w:rsid w:val="0032618E"/>
    <w:rsid w:val="00326D8F"/>
    <w:rsid w:val="00326DD7"/>
    <w:rsid w:val="0032740A"/>
    <w:rsid w:val="00327794"/>
    <w:rsid w:val="00331C64"/>
    <w:rsid w:val="00331ED9"/>
    <w:rsid w:val="003321BF"/>
    <w:rsid w:val="0033226A"/>
    <w:rsid w:val="0033231F"/>
    <w:rsid w:val="0033268B"/>
    <w:rsid w:val="00332F7E"/>
    <w:rsid w:val="00333450"/>
    <w:rsid w:val="003338AD"/>
    <w:rsid w:val="0033394A"/>
    <w:rsid w:val="00333FF1"/>
    <w:rsid w:val="0033442B"/>
    <w:rsid w:val="00335A04"/>
    <w:rsid w:val="0033608A"/>
    <w:rsid w:val="00336266"/>
    <w:rsid w:val="00336486"/>
    <w:rsid w:val="0033649D"/>
    <w:rsid w:val="00336B6C"/>
    <w:rsid w:val="00336B6D"/>
    <w:rsid w:val="00340A14"/>
    <w:rsid w:val="00341159"/>
    <w:rsid w:val="00341580"/>
    <w:rsid w:val="003416BB"/>
    <w:rsid w:val="00341D3D"/>
    <w:rsid w:val="003424A3"/>
    <w:rsid w:val="003441EC"/>
    <w:rsid w:val="00344384"/>
    <w:rsid w:val="00344E59"/>
    <w:rsid w:val="0034541F"/>
    <w:rsid w:val="00345755"/>
    <w:rsid w:val="003458F8"/>
    <w:rsid w:val="00346454"/>
    <w:rsid w:val="0034653B"/>
    <w:rsid w:val="00346A60"/>
    <w:rsid w:val="00347058"/>
    <w:rsid w:val="0034786D"/>
    <w:rsid w:val="00347CD2"/>
    <w:rsid w:val="00350038"/>
    <w:rsid w:val="00350365"/>
    <w:rsid w:val="00350A06"/>
    <w:rsid w:val="00351464"/>
    <w:rsid w:val="00352393"/>
    <w:rsid w:val="003523A2"/>
    <w:rsid w:val="00352856"/>
    <w:rsid w:val="00353FFE"/>
    <w:rsid w:val="00354BAC"/>
    <w:rsid w:val="00354D29"/>
    <w:rsid w:val="00354DA2"/>
    <w:rsid w:val="0035566A"/>
    <w:rsid w:val="00355BB8"/>
    <w:rsid w:val="00356789"/>
    <w:rsid w:val="00356E39"/>
    <w:rsid w:val="003570E0"/>
    <w:rsid w:val="003571E8"/>
    <w:rsid w:val="003575D9"/>
    <w:rsid w:val="00357D99"/>
    <w:rsid w:val="00357ED1"/>
    <w:rsid w:val="0036031A"/>
    <w:rsid w:val="00360350"/>
    <w:rsid w:val="00360DD0"/>
    <w:rsid w:val="00361402"/>
    <w:rsid w:val="003614ED"/>
    <w:rsid w:val="00361E0A"/>
    <w:rsid w:val="00361E51"/>
    <w:rsid w:val="0036252A"/>
    <w:rsid w:val="0036283C"/>
    <w:rsid w:val="00362CD7"/>
    <w:rsid w:val="00363B6E"/>
    <w:rsid w:val="00363D10"/>
    <w:rsid w:val="00363EC4"/>
    <w:rsid w:val="0036404B"/>
    <w:rsid w:val="003643B4"/>
    <w:rsid w:val="003649D5"/>
    <w:rsid w:val="00364CA4"/>
    <w:rsid w:val="00364FAB"/>
    <w:rsid w:val="00366783"/>
    <w:rsid w:val="0036689E"/>
    <w:rsid w:val="00366938"/>
    <w:rsid w:val="00367215"/>
    <w:rsid w:val="00367936"/>
    <w:rsid w:val="0036799A"/>
    <w:rsid w:val="00367A40"/>
    <w:rsid w:val="00367CFE"/>
    <w:rsid w:val="003705E7"/>
    <w:rsid w:val="00370F71"/>
    <w:rsid w:val="0037150C"/>
    <w:rsid w:val="003715B2"/>
    <w:rsid w:val="00372123"/>
    <w:rsid w:val="003726D8"/>
    <w:rsid w:val="003727E6"/>
    <w:rsid w:val="00372C96"/>
    <w:rsid w:val="00373787"/>
    <w:rsid w:val="00373BCC"/>
    <w:rsid w:val="00374037"/>
    <w:rsid w:val="003745ED"/>
    <w:rsid w:val="00374A32"/>
    <w:rsid w:val="00374EBB"/>
    <w:rsid w:val="00374F62"/>
    <w:rsid w:val="0037510F"/>
    <w:rsid w:val="003758E7"/>
    <w:rsid w:val="00375BE4"/>
    <w:rsid w:val="003760EC"/>
    <w:rsid w:val="003760F7"/>
    <w:rsid w:val="00376350"/>
    <w:rsid w:val="00376533"/>
    <w:rsid w:val="00376592"/>
    <w:rsid w:val="003765E6"/>
    <w:rsid w:val="00376993"/>
    <w:rsid w:val="00377C61"/>
    <w:rsid w:val="00377EAE"/>
    <w:rsid w:val="003808C0"/>
    <w:rsid w:val="003824C2"/>
    <w:rsid w:val="003831A3"/>
    <w:rsid w:val="003834BF"/>
    <w:rsid w:val="003835E1"/>
    <w:rsid w:val="00384075"/>
    <w:rsid w:val="003842B4"/>
    <w:rsid w:val="0038464A"/>
    <w:rsid w:val="003858CB"/>
    <w:rsid w:val="00385AAC"/>
    <w:rsid w:val="00385F00"/>
    <w:rsid w:val="00385FC8"/>
    <w:rsid w:val="003863C4"/>
    <w:rsid w:val="00386877"/>
    <w:rsid w:val="003869C8"/>
    <w:rsid w:val="0038724E"/>
    <w:rsid w:val="003872F3"/>
    <w:rsid w:val="003872F4"/>
    <w:rsid w:val="003877D2"/>
    <w:rsid w:val="00387841"/>
    <w:rsid w:val="00387A02"/>
    <w:rsid w:val="00387ABB"/>
    <w:rsid w:val="00390B7D"/>
    <w:rsid w:val="00390F1D"/>
    <w:rsid w:val="003910A1"/>
    <w:rsid w:val="00391533"/>
    <w:rsid w:val="003918EF"/>
    <w:rsid w:val="00393026"/>
    <w:rsid w:val="00395042"/>
    <w:rsid w:val="00395756"/>
    <w:rsid w:val="003958DC"/>
    <w:rsid w:val="00395976"/>
    <w:rsid w:val="003959BC"/>
    <w:rsid w:val="00395D21"/>
    <w:rsid w:val="00396003"/>
    <w:rsid w:val="00396385"/>
    <w:rsid w:val="0039642B"/>
    <w:rsid w:val="003968E8"/>
    <w:rsid w:val="00397063"/>
    <w:rsid w:val="003A03AD"/>
    <w:rsid w:val="003A147D"/>
    <w:rsid w:val="003A1A31"/>
    <w:rsid w:val="003A28A8"/>
    <w:rsid w:val="003A2E10"/>
    <w:rsid w:val="003A3103"/>
    <w:rsid w:val="003A37F2"/>
    <w:rsid w:val="003A3AC8"/>
    <w:rsid w:val="003A3BD4"/>
    <w:rsid w:val="003A3EB0"/>
    <w:rsid w:val="003A43C0"/>
    <w:rsid w:val="003A4414"/>
    <w:rsid w:val="003A447C"/>
    <w:rsid w:val="003A4E60"/>
    <w:rsid w:val="003A54C4"/>
    <w:rsid w:val="003A5E27"/>
    <w:rsid w:val="003A67DD"/>
    <w:rsid w:val="003A6886"/>
    <w:rsid w:val="003A7401"/>
    <w:rsid w:val="003A7974"/>
    <w:rsid w:val="003B0236"/>
    <w:rsid w:val="003B1D40"/>
    <w:rsid w:val="003B2027"/>
    <w:rsid w:val="003B261C"/>
    <w:rsid w:val="003B3041"/>
    <w:rsid w:val="003B32C5"/>
    <w:rsid w:val="003B3A24"/>
    <w:rsid w:val="003B4046"/>
    <w:rsid w:val="003B414E"/>
    <w:rsid w:val="003B46A7"/>
    <w:rsid w:val="003B49B7"/>
    <w:rsid w:val="003B4E41"/>
    <w:rsid w:val="003B52DD"/>
    <w:rsid w:val="003B53D5"/>
    <w:rsid w:val="003B5E68"/>
    <w:rsid w:val="003B62BC"/>
    <w:rsid w:val="003B7078"/>
    <w:rsid w:val="003B75E3"/>
    <w:rsid w:val="003C0246"/>
    <w:rsid w:val="003C0592"/>
    <w:rsid w:val="003C0AEB"/>
    <w:rsid w:val="003C0CE1"/>
    <w:rsid w:val="003C1172"/>
    <w:rsid w:val="003C1703"/>
    <w:rsid w:val="003C1B4F"/>
    <w:rsid w:val="003C21AA"/>
    <w:rsid w:val="003C269F"/>
    <w:rsid w:val="003C39F5"/>
    <w:rsid w:val="003C3FE1"/>
    <w:rsid w:val="003C452D"/>
    <w:rsid w:val="003C455E"/>
    <w:rsid w:val="003C4750"/>
    <w:rsid w:val="003C5853"/>
    <w:rsid w:val="003C6461"/>
    <w:rsid w:val="003C64FC"/>
    <w:rsid w:val="003C6619"/>
    <w:rsid w:val="003C6A1B"/>
    <w:rsid w:val="003C71B9"/>
    <w:rsid w:val="003C7251"/>
    <w:rsid w:val="003C7E98"/>
    <w:rsid w:val="003C7FF5"/>
    <w:rsid w:val="003D0748"/>
    <w:rsid w:val="003D0D95"/>
    <w:rsid w:val="003D137D"/>
    <w:rsid w:val="003D1AF2"/>
    <w:rsid w:val="003D1B95"/>
    <w:rsid w:val="003D273A"/>
    <w:rsid w:val="003D3008"/>
    <w:rsid w:val="003D3325"/>
    <w:rsid w:val="003D4967"/>
    <w:rsid w:val="003D4E21"/>
    <w:rsid w:val="003D5A8C"/>
    <w:rsid w:val="003D5C8A"/>
    <w:rsid w:val="003D63BA"/>
    <w:rsid w:val="003D7746"/>
    <w:rsid w:val="003D799B"/>
    <w:rsid w:val="003D7CB9"/>
    <w:rsid w:val="003D7E05"/>
    <w:rsid w:val="003D7F87"/>
    <w:rsid w:val="003E06BE"/>
    <w:rsid w:val="003E0F8A"/>
    <w:rsid w:val="003E1BE0"/>
    <w:rsid w:val="003E1C47"/>
    <w:rsid w:val="003E21F9"/>
    <w:rsid w:val="003E254B"/>
    <w:rsid w:val="003E2657"/>
    <w:rsid w:val="003E28C0"/>
    <w:rsid w:val="003E2D3A"/>
    <w:rsid w:val="003E3ECB"/>
    <w:rsid w:val="003E3FD5"/>
    <w:rsid w:val="003E47C1"/>
    <w:rsid w:val="003E4E31"/>
    <w:rsid w:val="003E504A"/>
    <w:rsid w:val="003E50B4"/>
    <w:rsid w:val="003E5328"/>
    <w:rsid w:val="003E54C4"/>
    <w:rsid w:val="003E57ED"/>
    <w:rsid w:val="003E5DEB"/>
    <w:rsid w:val="003E67BC"/>
    <w:rsid w:val="003E6DFA"/>
    <w:rsid w:val="003E6E9F"/>
    <w:rsid w:val="003E7396"/>
    <w:rsid w:val="003E78A0"/>
    <w:rsid w:val="003F0EDD"/>
    <w:rsid w:val="003F1640"/>
    <w:rsid w:val="003F180D"/>
    <w:rsid w:val="003F21B8"/>
    <w:rsid w:val="003F38B8"/>
    <w:rsid w:val="003F400B"/>
    <w:rsid w:val="003F4718"/>
    <w:rsid w:val="003F51B3"/>
    <w:rsid w:val="003F5CF1"/>
    <w:rsid w:val="003F637B"/>
    <w:rsid w:val="003F66B9"/>
    <w:rsid w:val="004003FE"/>
    <w:rsid w:val="004005DD"/>
    <w:rsid w:val="00400E17"/>
    <w:rsid w:val="00401071"/>
    <w:rsid w:val="00401D9A"/>
    <w:rsid w:val="00402826"/>
    <w:rsid w:val="00402DFB"/>
    <w:rsid w:val="00403270"/>
    <w:rsid w:val="00403500"/>
    <w:rsid w:val="0040382A"/>
    <w:rsid w:val="004060C1"/>
    <w:rsid w:val="00406BDF"/>
    <w:rsid w:val="00410191"/>
    <w:rsid w:val="00411805"/>
    <w:rsid w:val="00411D6E"/>
    <w:rsid w:val="00411DBA"/>
    <w:rsid w:val="004120A6"/>
    <w:rsid w:val="004120E6"/>
    <w:rsid w:val="00412312"/>
    <w:rsid w:val="0041262A"/>
    <w:rsid w:val="00412702"/>
    <w:rsid w:val="004136E8"/>
    <w:rsid w:val="004138A9"/>
    <w:rsid w:val="004146A1"/>
    <w:rsid w:val="00414B7D"/>
    <w:rsid w:val="00414DA9"/>
    <w:rsid w:val="00415B8C"/>
    <w:rsid w:val="0041764C"/>
    <w:rsid w:val="00417A08"/>
    <w:rsid w:val="00417FA4"/>
    <w:rsid w:val="00420046"/>
    <w:rsid w:val="0042152D"/>
    <w:rsid w:val="00421AC9"/>
    <w:rsid w:val="004222D0"/>
    <w:rsid w:val="00422819"/>
    <w:rsid w:val="004232DB"/>
    <w:rsid w:val="0042378A"/>
    <w:rsid w:val="00423C4A"/>
    <w:rsid w:val="004247C5"/>
    <w:rsid w:val="00424DE4"/>
    <w:rsid w:val="0042501D"/>
    <w:rsid w:val="0042533B"/>
    <w:rsid w:val="00425F33"/>
    <w:rsid w:val="0042680B"/>
    <w:rsid w:val="00426DE1"/>
    <w:rsid w:val="00427F2B"/>
    <w:rsid w:val="004304B9"/>
    <w:rsid w:val="0043067E"/>
    <w:rsid w:val="00430A72"/>
    <w:rsid w:val="00430F1D"/>
    <w:rsid w:val="0043121B"/>
    <w:rsid w:val="00431CA2"/>
    <w:rsid w:val="00431FB2"/>
    <w:rsid w:val="00432255"/>
    <w:rsid w:val="004323D2"/>
    <w:rsid w:val="004324F8"/>
    <w:rsid w:val="004325F9"/>
    <w:rsid w:val="004327BE"/>
    <w:rsid w:val="00432AF6"/>
    <w:rsid w:val="00432F76"/>
    <w:rsid w:val="004337FD"/>
    <w:rsid w:val="00433EF4"/>
    <w:rsid w:val="0043418C"/>
    <w:rsid w:val="00434436"/>
    <w:rsid w:val="0043553D"/>
    <w:rsid w:val="00435B33"/>
    <w:rsid w:val="00435C2E"/>
    <w:rsid w:val="00436230"/>
    <w:rsid w:val="0043670F"/>
    <w:rsid w:val="0043694E"/>
    <w:rsid w:val="00436F17"/>
    <w:rsid w:val="00437D36"/>
    <w:rsid w:val="004404BE"/>
    <w:rsid w:val="00440964"/>
    <w:rsid w:val="00440CC5"/>
    <w:rsid w:val="004414C9"/>
    <w:rsid w:val="00441B76"/>
    <w:rsid w:val="00441EFB"/>
    <w:rsid w:val="00442353"/>
    <w:rsid w:val="004424D1"/>
    <w:rsid w:val="0044487B"/>
    <w:rsid w:val="00444922"/>
    <w:rsid w:val="004453E9"/>
    <w:rsid w:val="004454CD"/>
    <w:rsid w:val="00445AE5"/>
    <w:rsid w:val="00445CDA"/>
    <w:rsid w:val="004464B7"/>
    <w:rsid w:val="00446562"/>
    <w:rsid w:val="00446654"/>
    <w:rsid w:val="0044686A"/>
    <w:rsid w:val="00446986"/>
    <w:rsid w:val="00446C1B"/>
    <w:rsid w:val="00447D0B"/>
    <w:rsid w:val="00447F3B"/>
    <w:rsid w:val="0045016E"/>
    <w:rsid w:val="00450860"/>
    <w:rsid w:val="00450886"/>
    <w:rsid w:val="004514EE"/>
    <w:rsid w:val="004519A1"/>
    <w:rsid w:val="00451B6C"/>
    <w:rsid w:val="00451FC1"/>
    <w:rsid w:val="0045244B"/>
    <w:rsid w:val="00452B28"/>
    <w:rsid w:val="00452CBA"/>
    <w:rsid w:val="00452E8E"/>
    <w:rsid w:val="004531D2"/>
    <w:rsid w:val="0045344E"/>
    <w:rsid w:val="00454336"/>
    <w:rsid w:val="00454B49"/>
    <w:rsid w:val="0045500D"/>
    <w:rsid w:val="0045545D"/>
    <w:rsid w:val="00455776"/>
    <w:rsid w:val="004559B6"/>
    <w:rsid w:val="00455F84"/>
    <w:rsid w:val="00456577"/>
    <w:rsid w:val="004567D4"/>
    <w:rsid w:val="00456C97"/>
    <w:rsid w:val="00456D15"/>
    <w:rsid w:val="00456DA7"/>
    <w:rsid w:val="0045724A"/>
    <w:rsid w:val="0045750F"/>
    <w:rsid w:val="004575CD"/>
    <w:rsid w:val="00460709"/>
    <w:rsid w:val="00460CCE"/>
    <w:rsid w:val="00460CEC"/>
    <w:rsid w:val="00461567"/>
    <w:rsid w:val="00462018"/>
    <w:rsid w:val="00462129"/>
    <w:rsid w:val="00463912"/>
    <w:rsid w:val="00463F0B"/>
    <w:rsid w:val="0046438C"/>
    <w:rsid w:val="004657F4"/>
    <w:rsid w:val="00466384"/>
    <w:rsid w:val="004663A5"/>
    <w:rsid w:val="0046667B"/>
    <w:rsid w:val="004666DF"/>
    <w:rsid w:val="004667B9"/>
    <w:rsid w:val="00467102"/>
    <w:rsid w:val="00467268"/>
    <w:rsid w:val="00467D57"/>
    <w:rsid w:val="0047067A"/>
    <w:rsid w:val="00470A93"/>
    <w:rsid w:val="00470CD0"/>
    <w:rsid w:val="00470F12"/>
    <w:rsid w:val="00471046"/>
    <w:rsid w:val="00471214"/>
    <w:rsid w:val="004712D1"/>
    <w:rsid w:val="0047167A"/>
    <w:rsid w:val="004722C3"/>
    <w:rsid w:val="004724B2"/>
    <w:rsid w:val="00472DD7"/>
    <w:rsid w:val="004731F1"/>
    <w:rsid w:val="00473C29"/>
    <w:rsid w:val="00473CC7"/>
    <w:rsid w:val="00473EF7"/>
    <w:rsid w:val="00474076"/>
    <w:rsid w:val="0047466E"/>
    <w:rsid w:val="004749A2"/>
    <w:rsid w:val="00474AD9"/>
    <w:rsid w:val="00474B4A"/>
    <w:rsid w:val="00474DC1"/>
    <w:rsid w:val="00475064"/>
    <w:rsid w:val="00475E21"/>
    <w:rsid w:val="00475EF5"/>
    <w:rsid w:val="00476237"/>
    <w:rsid w:val="004765F3"/>
    <w:rsid w:val="00476C7C"/>
    <w:rsid w:val="004770FA"/>
    <w:rsid w:val="004777B5"/>
    <w:rsid w:val="00477D17"/>
    <w:rsid w:val="00477EB6"/>
    <w:rsid w:val="0048029F"/>
    <w:rsid w:val="0048079E"/>
    <w:rsid w:val="004808A7"/>
    <w:rsid w:val="004809B3"/>
    <w:rsid w:val="00480AAC"/>
    <w:rsid w:val="00480FFC"/>
    <w:rsid w:val="00481939"/>
    <w:rsid w:val="00481CC9"/>
    <w:rsid w:val="0048248B"/>
    <w:rsid w:val="0048307D"/>
    <w:rsid w:val="004835DA"/>
    <w:rsid w:val="004848F7"/>
    <w:rsid w:val="00484B5E"/>
    <w:rsid w:val="00485065"/>
    <w:rsid w:val="004854C8"/>
    <w:rsid w:val="004854FA"/>
    <w:rsid w:val="004856B9"/>
    <w:rsid w:val="00486925"/>
    <w:rsid w:val="00486AD5"/>
    <w:rsid w:val="0048708D"/>
    <w:rsid w:val="004870A1"/>
    <w:rsid w:val="004872D8"/>
    <w:rsid w:val="00487C58"/>
    <w:rsid w:val="004907E4"/>
    <w:rsid w:val="00490DDC"/>
    <w:rsid w:val="00491171"/>
    <w:rsid w:val="0049193F"/>
    <w:rsid w:val="00491A1B"/>
    <w:rsid w:val="004920E4"/>
    <w:rsid w:val="00492733"/>
    <w:rsid w:val="00494900"/>
    <w:rsid w:val="00495075"/>
    <w:rsid w:val="0049554F"/>
    <w:rsid w:val="0049587F"/>
    <w:rsid w:val="00495B8F"/>
    <w:rsid w:val="00495CF4"/>
    <w:rsid w:val="004976D3"/>
    <w:rsid w:val="004978CB"/>
    <w:rsid w:val="00497FC8"/>
    <w:rsid w:val="004A01C9"/>
    <w:rsid w:val="004A04EF"/>
    <w:rsid w:val="004A0B28"/>
    <w:rsid w:val="004A0B9E"/>
    <w:rsid w:val="004A0F70"/>
    <w:rsid w:val="004A1169"/>
    <w:rsid w:val="004A128F"/>
    <w:rsid w:val="004A209F"/>
    <w:rsid w:val="004A2123"/>
    <w:rsid w:val="004A311B"/>
    <w:rsid w:val="004A33C9"/>
    <w:rsid w:val="004A3CF1"/>
    <w:rsid w:val="004A3D05"/>
    <w:rsid w:val="004A449C"/>
    <w:rsid w:val="004A478A"/>
    <w:rsid w:val="004A49BE"/>
    <w:rsid w:val="004A4A2D"/>
    <w:rsid w:val="004A5659"/>
    <w:rsid w:val="004A57CD"/>
    <w:rsid w:val="004A57D1"/>
    <w:rsid w:val="004A6390"/>
    <w:rsid w:val="004A7431"/>
    <w:rsid w:val="004A7DBB"/>
    <w:rsid w:val="004B1011"/>
    <w:rsid w:val="004B16BA"/>
    <w:rsid w:val="004B2335"/>
    <w:rsid w:val="004B253D"/>
    <w:rsid w:val="004B3140"/>
    <w:rsid w:val="004B350B"/>
    <w:rsid w:val="004B36F7"/>
    <w:rsid w:val="004B3B38"/>
    <w:rsid w:val="004B3D84"/>
    <w:rsid w:val="004B4175"/>
    <w:rsid w:val="004B493C"/>
    <w:rsid w:val="004B4C08"/>
    <w:rsid w:val="004B501C"/>
    <w:rsid w:val="004B5181"/>
    <w:rsid w:val="004B6A1E"/>
    <w:rsid w:val="004B6A95"/>
    <w:rsid w:val="004B6CF0"/>
    <w:rsid w:val="004B76CE"/>
    <w:rsid w:val="004B7D53"/>
    <w:rsid w:val="004C0429"/>
    <w:rsid w:val="004C06E3"/>
    <w:rsid w:val="004C0A3B"/>
    <w:rsid w:val="004C0D23"/>
    <w:rsid w:val="004C171E"/>
    <w:rsid w:val="004C1A0C"/>
    <w:rsid w:val="004C1A14"/>
    <w:rsid w:val="004C1E96"/>
    <w:rsid w:val="004C2D47"/>
    <w:rsid w:val="004C2E19"/>
    <w:rsid w:val="004C3212"/>
    <w:rsid w:val="004C3ECA"/>
    <w:rsid w:val="004C43D0"/>
    <w:rsid w:val="004C457E"/>
    <w:rsid w:val="004C499F"/>
    <w:rsid w:val="004C556B"/>
    <w:rsid w:val="004C5D35"/>
    <w:rsid w:val="004C6176"/>
    <w:rsid w:val="004C6656"/>
    <w:rsid w:val="004C6892"/>
    <w:rsid w:val="004C6CF5"/>
    <w:rsid w:val="004C6F8E"/>
    <w:rsid w:val="004C71DC"/>
    <w:rsid w:val="004C7685"/>
    <w:rsid w:val="004C79CA"/>
    <w:rsid w:val="004D063D"/>
    <w:rsid w:val="004D064E"/>
    <w:rsid w:val="004D0E4E"/>
    <w:rsid w:val="004D1264"/>
    <w:rsid w:val="004D188C"/>
    <w:rsid w:val="004D18DF"/>
    <w:rsid w:val="004D1A6C"/>
    <w:rsid w:val="004D1AE3"/>
    <w:rsid w:val="004D200E"/>
    <w:rsid w:val="004D21C4"/>
    <w:rsid w:val="004D2AEE"/>
    <w:rsid w:val="004D2B7D"/>
    <w:rsid w:val="004D3D8C"/>
    <w:rsid w:val="004D4245"/>
    <w:rsid w:val="004D4306"/>
    <w:rsid w:val="004D4466"/>
    <w:rsid w:val="004D4DD3"/>
    <w:rsid w:val="004D4E30"/>
    <w:rsid w:val="004D4EE9"/>
    <w:rsid w:val="004D4FBC"/>
    <w:rsid w:val="004D578D"/>
    <w:rsid w:val="004D612A"/>
    <w:rsid w:val="004D6329"/>
    <w:rsid w:val="004D6865"/>
    <w:rsid w:val="004D6D4F"/>
    <w:rsid w:val="004E125D"/>
    <w:rsid w:val="004E14D7"/>
    <w:rsid w:val="004E25F5"/>
    <w:rsid w:val="004E270B"/>
    <w:rsid w:val="004E353A"/>
    <w:rsid w:val="004E3ED5"/>
    <w:rsid w:val="004E43B1"/>
    <w:rsid w:val="004E43F8"/>
    <w:rsid w:val="004E4526"/>
    <w:rsid w:val="004E4728"/>
    <w:rsid w:val="004E4A3D"/>
    <w:rsid w:val="004E5594"/>
    <w:rsid w:val="004E5714"/>
    <w:rsid w:val="004E5DBD"/>
    <w:rsid w:val="004E620B"/>
    <w:rsid w:val="004E6DD4"/>
    <w:rsid w:val="004E7115"/>
    <w:rsid w:val="004E745B"/>
    <w:rsid w:val="004F0351"/>
    <w:rsid w:val="004F05D2"/>
    <w:rsid w:val="004F112A"/>
    <w:rsid w:val="004F149F"/>
    <w:rsid w:val="004F23AB"/>
    <w:rsid w:val="004F3C26"/>
    <w:rsid w:val="004F461F"/>
    <w:rsid w:val="004F4BA7"/>
    <w:rsid w:val="004F60CF"/>
    <w:rsid w:val="004F73F3"/>
    <w:rsid w:val="004F741F"/>
    <w:rsid w:val="004F76AD"/>
    <w:rsid w:val="004F7880"/>
    <w:rsid w:val="004F7A62"/>
    <w:rsid w:val="00501070"/>
    <w:rsid w:val="0050197A"/>
    <w:rsid w:val="00502547"/>
    <w:rsid w:val="00502BBA"/>
    <w:rsid w:val="00502E83"/>
    <w:rsid w:val="00502F04"/>
    <w:rsid w:val="005035DD"/>
    <w:rsid w:val="0050374C"/>
    <w:rsid w:val="00503912"/>
    <w:rsid w:val="00503EE2"/>
    <w:rsid w:val="00504217"/>
    <w:rsid w:val="0050427B"/>
    <w:rsid w:val="00504715"/>
    <w:rsid w:val="0050483B"/>
    <w:rsid w:val="00504895"/>
    <w:rsid w:val="00504F27"/>
    <w:rsid w:val="005055C0"/>
    <w:rsid w:val="00505642"/>
    <w:rsid w:val="005059D5"/>
    <w:rsid w:val="00505AB8"/>
    <w:rsid w:val="00506571"/>
    <w:rsid w:val="005069BA"/>
    <w:rsid w:val="00506CE9"/>
    <w:rsid w:val="00507001"/>
    <w:rsid w:val="005075ED"/>
    <w:rsid w:val="005100C8"/>
    <w:rsid w:val="00510584"/>
    <w:rsid w:val="005124BC"/>
    <w:rsid w:val="00512DDE"/>
    <w:rsid w:val="005134E9"/>
    <w:rsid w:val="00513796"/>
    <w:rsid w:val="00513986"/>
    <w:rsid w:val="005139A4"/>
    <w:rsid w:val="005142F5"/>
    <w:rsid w:val="0051436B"/>
    <w:rsid w:val="005143A1"/>
    <w:rsid w:val="00514DCE"/>
    <w:rsid w:val="0051528A"/>
    <w:rsid w:val="00516A54"/>
    <w:rsid w:val="00516CB2"/>
    <w:rsid w:val="00516D7C"/>
    <w:rsid w:val="00517380"/>
    <w:rsid w:val="005179D9"/>
    <w:rsid w:val="00517FC8"/>
    <w:rsid w:val="0052023C"/>
    <w:rsid w:val="005205B8"/>
    <w:rsid w:val="0052083F"/>
    <w:rsid w:val="00521191"/>
    <w:rsid w:val="00521734"/>
    <w:rsid w:val="00521BE4"/>
    <w:rsid w:val="00522183"/>
    <w:rsid w:val="005223D0"/>
    <w:rsid w:val="00522DDE"/>
    <w:rsid w:val="005230B3"/>
    <w:rsid w:val="005235D4"/>
    <w:rsid w:val="00523871"/>
    <w:rsid w:val="00523920"/>
    <w:rsid w:val="00523F6F"/>
    <w:rsid w:val="00524B53"/>
    <w:rsid w:val="005258EA"/>
    <w:rsid w:val="0052652A"/>
    <w:rsid w:val="00526D32"/>
    <w:rsid w:val="00526F67"/>
    <w:rsid w:val="00526F6E"/>
    <w:rsid w:val="0052780A"/>
    <w:rsid w:val="0053041E"/>
    <w:rsid w:val="00530F6F"/>
    <w:rsid w:val="00531ACC"/>
    <w:rsid w:val="00531C64"/>
    <w:rsid w:val="005325E9"/>
    <w:rsid w:val="005329B7"/>
    <w:rsid w:val="0053314E"/>
    <w:rsid w:val="00533245"/>
    <w:rsid w:val="00533DBA"/>
    <w:rsid w:val="00534AE1"/>
    <w:rsid w:val="005352FD"/>
    <w:rsid w:val="00535B09"/>
    <w:rsid w:val="00535DA7"/>
    <w:rsid w:val="00536DE7"/>
    <w:rsid w:val="00537747"/>
    <w:rsid w:val="00537860"/>
    <w:rsid w:val="005403AE"/>
    <w:rsid w:val="00540DCF"/>
    <w:rsid w:val="005414EC"/>
    <w:rsid w:val="00541947"/>
    <w:rsid w:val="00542676"/>
    <w:rsid w:val="005428C5"/>
    <w:rsid w:val="00542B39"/>
    <w:rsid w:val="00542C4B"/>
    <w:rsid w:val="00542C7A"/>
    <w:rsid w:val="005433E9"/>
    <w:rsid w:val="0054340D"/>
    <w:rsid w:val="00544BC9"/>
    <w:rsid w:val="00544E1A"/>
    <w:rsid w:val="00544EAE"/>
    <w:rsid w:val="005455F8"/>
    <w:rsid w:val="005457EA"/>
    <w:rsid w:val="0054592D"/>
    <w:rsid w:val="00545979"/>
    <w:rsid w:val="00545ECB"/>
    <w:rsid w:val="00546649"/>
    <w:rsid w:val="00546F4E"/>
    <w:rsid w:val="00546FA5"/>
    <w:rsid w:val="00547180"/>
    <w:rsid w:val="00547E1A"/>
    <w:rsid w:val="00547ED0"/>
    <w:rsid w:val="005522B0"/>
    <w:rsid w:val="005539F0"/>
    <w:rsid w:val="00553BF6"/>
    <w:rsid w:val="005541F2"/>
    <w:rsid w:val="0055560D"/>
    <w:rsid w:val="00555916"/>
    <w:rsid w:val="00556911"/>
    <w:rsid w:val="00556C97"/>
    <w:rsid w:val="00557494"/>
    <w:rsid w:val="005574CB"/>
    <w:rsid w:val="005576DC"/>
    <w:rsid w:val="0056071D"/>
    <w:rsid w:val="0056194B"/>
    <w:rsid w:val="005624A9"/>
    <w:rsid w:val="005628CB"/>
    <w:rsid w:val="005629B8"/>
    <w:rsid w:val="005632A0"/>
    <w:rsid w:val="00563A19"/>
    <w:rsid w:val="00564A54"/>
    <w:rsid w:val="00564AB1"/>
    <w:rsid w:val="005652A0"/>
    <w:rsid w:val="005652EA"/>
    <w:rsid w:val="00565A64"/>
    <w:rsid w:val="00565F87"/>
    <w:rsid w:val="00565FB1"/>
    <w:rsid w:val="0056654D"/>
    <w:rsid w:val="00566E12"/>
    <w:rsid w:val="00566F64"/>
    <w:rsid w:val="00567345"/>
    <w:rsid w:val="00567481"/>
    <w:rsid w:val="00567E1A"/>
    <w:rsid w:val="00570091"/>
    <w:rsid w:val="005717B1"/>
    <w:rsid w:val="005726FD"/>
    <w:rsid w:val="00572CFB"/>
    <w:rsid w:val="00573482"/>
    <w:rsid w:val="005738C9"/>
    <w:rsid w:val="00573B9D"/>
    <w:rsid w:val="0057499F"/>
    <w:rsid w:val="00574D66"/>
    <w:rsid w:val="00575EEE"/>
    <w:rsid w:val="00576078"/>
    <w:rsid w:val="00576137"/>
    <w:rsid w:val="005763CA"/>
    <w:rsid w:val="00576E4E"/>
    <w:rsid w:val="00576EC9"/>
    <w:rsid w:val="00577008"/>
    <w:rsid w:val="00580852"/>
    <w:rsid w:val="00580C0F"/>
    <w:rsid w:val="00581EE1"/>
    <w:rsid w:val="00582399"/>
    <w:rsid w:val="00582436"/>
    <w:rsid w:val="005824E9"/>
    <w:rsid w:val="00583684"/>
    <w:rsid w:val="0058392E"/>
    <w:rsid w:val="0058434A"/>
    <w:rsid w:val="00584863"/>
    <w:rsid w:val="00584A47"/>
    <w:rsid w:val="00584B52"/>
    <w:rsid w:val="00584C4E"/>
    <w:rsid w:val="00584DE2"/>
    <w:rsid w:val="00585A65"/>
    <w:rsid w:val="0058620D"/>
    <w:rsid w:val="0058638F"/>
    <w:rsid w:val="005866F5"/>
    <w:rsid w:val="00586D15"/>
    <w:rsid w:val="00586DEF"/>
    <w:rsid w:val="005878E1"/>
    <w:rsid w:val="00587C90"/>
    <w:rsid w:val="00590EA8"/>
    <w:rsid w:val="00590F08"/>
    <w:rsid w:val="00591763"/>
    <w:rsid w:val="00591CA4"/>
    <w:rsid w:val="00591E3D"/>
    <w:rsid w:val="00592575"/>
    <w:rsid w:val="005925B3"/>
    <w:rsid w:val="00592CA4"/>
    <w:rsid w:val="00593A47"/>
    <w:rsid w:val="00593BF9"/>
    <w:rsid w:val="00594486"/>
    <w:rsid w:val="005946BA"/>
    <w:rsid w:val="005959DC"/>
    <w:rsid w:val="00596049"/>
    <w:rsid w:val="005963D2"/>
    <w:rsid w:val="00597299"/>
    <w:rsid w:val="00597AF3"/>
    <w:rsid w:val="005A1A75"/>
    <w:rsid w:val="005A1ADE"/>
    <w:rsid w:val="005A2B5F"/>
    <w:rsid w:val="005A2D79"/>
    <w:rsid w:val="005A2E33"/>
    <w:rsid w:val="005A358B"/>
    <w:rsid w:val="005A3ECB"/>
    <w:rsid w:val="005A40BD"/>
    <w:rsid w:val="005A4B2D"/>
    <w:rsid w:val="005A4D1C"/>
    <w:rsid w:val="005A4D5E"/>
    <w:rsid w:val="005A4D72"/>
    <w:rsid w:val="005A5569"/>
    <w:rsid w:val="005A5811"/>
    <w:rsid w:val="005A5E43"/>
    <w:rsid w:val="005A68AB"/>
    <w:rsid w:val="005A6D1A"/>
    <w:rsid w:val="005A6F3A"/>
    <w:rsid w:val="005A71B3"/>
    <w:rsid w:val="005A7550"/>
    <w:rsid w:val="005A79BA"/>
    <w:rsid w:val="005B008E"/>
    <w:rsid w:val="005B098F"/>
    <w:rsid w:val="005B0B35"/>
    <w:rsid w:val="005B0E56"/>
    <w:rsid w:val="005B1318"/>
    <w:rsid w:val="005B166E"/>
    <w:rsid w:val="005B1BA3"/>
    <w:rsid w:val="005B1D21"/>
    <w:rsid w:val="005B1EE2"/>
    <w:rsid w:val="005B4909"/>
    <w:rsid w:val="005B5A1A"/>
    <w:rsid w:val="005B5ACC"/>
    <w:rsid w:val="005B63D4"/>
    <w:rsid w:val="005B6776"/>
    <w:rsid w:val="005B6902"/>
    <w:rsid w:val="005B72B0"/>
    <w:rsid w:val="005B75B2"/>
    <w:rsid w:val="005B77E4"/>
    <w:rsid w:val="005B7960"/>
    <w:rsid w:val="005B7CE7"/>
    <w:rsid w:val="005C00C2"/>
    <w:rsid w:val="005C10AE"/>
    <w:rsid w:val="005C1695"/>
    <w:rsid w:val="005C1796"/>
    <w:rsid w:val="005C1C4E"/>
    <w:rsid w:val="005C1FD6"/>
    <w:rsid w:val="005C2045"/>
    <w:rsid w:val="005C208B"/>
    <w:rsid w:val="005C2335"/>
    <w:rsid w:val="005C2EF9"/>
    <w:rsid w:val="005C3AEC"/>
    <w:rsid w:val="005C3E4F"/>
    <w:rsid w:val="005C4157"/>
    <w:rsid w:val="005C4189"/>
    <w:rsid w:val="005C41C9"/>
    <w:rsid w:val="005C58C1"/>
    <w:rsid w:val="005C5938"/>
    <w:rsid w:val="005C606B"/>
    <w:rsid w:val="005C6198"/>
    <w:rsid w:val="005C621D"/>
    <w:rsid w:val="005C664B"/>
    <w:rsid w:val="005C6768"/>
    <w:rsid w:val="005C6F74"/>
    <w:rsid w:val="005C7B58"/>
    <w:rsid w:val="005D037C"/>
    <w:rsid w:val="005D0445"/>
    <w:rsid w:val="005D0870"/>
    <w:rsid w:val="005D0F0F"/>
    <w:rsid w:val="005D0F9D"/>
    <w:rsid w:val="005D11C6"/>
    <w:rsid w:val="005D17FD"/>
    <w:rsid w:val="005D1CBE"/>
    <w:rsid w:val="005D1EA8"/>
    <w:rsid w:val="005D2C1A"/>
    <w:rsid w:val="005D2C20"/>
    <w:rsid w:val="005D329F"/>
    <w:rsid w:val="005D3EFB"/>
    <w:rsid w:val="005D442A"/>
    <w:rsid w:val="005D45C7"/>
    <w:rsid w:val="005D48BF"/>
    <w:rsid w:val="005D4E85"/>
    <w:rsid w:val="005D5735"/>
    <w:rsid w:val="005D582F"/>
    <w:rsid w:val="005D5E61"/>
    <w:rsid w:val="005D60A6"/>
    <w:rsid w:val="005D651B"/>
    <w:rsid w:val="005D6798"/>
    <w:rsid w:val="005D6E79"/>
    <w:rsid w:val="005D6F5E"/>
    <w:rsid w:val="005D6FD4"/>
    <w:rsid w:val="005D70A0"/>
    <w:rsid w:val="005D775A"/>
    <w:rsid w:val="005D7AB4"/>
    <w:rsid w:val="005E0CDD"/>
    <w:rsid w:val="005E10DC"/>
    <w:rsid w:val="005E197F"/>
    <w:rsid w:val="005E1EB8"/>
    <w:rsid w:val="005E29C0"/>
    <w:rsid w:val="005E30E6"/>
    <w:rsid w:val="005E32DD"/>
    <w:rsid w:val="005E3CC6"/>
    <w:rsid w:val="005E3E69"/>
    <w:rsid w:val="005E4932"/>
    <w:rsid w:val="005E4A6B"/>
    <w:rsid w:val="005E4CAC"/>
    <w:rsid w:val="005E566A"/>
    <w:rsid w:val="005E67AE"/>
    <w:rsid w:val="005E69FB"/>
    <w:rsid w:val="005E6E61"/>
    <w:rsid w:val="005E70E8"/>
    <w:rsid w:val="005E7533"/>
    <w:rsid w:val="005E75B6"/>
    <w:rsid w:val="005F0685"/>
    <w:rsid w:val="005F098E"/>
    <w:rsid w:val="005F0BDE"/>
    <w:rsid w:val="005F1233"/>
    <w:rsid w:val="005F214B"/>
    <w:rsid w:val="005F2577"/>
    <w:rsid w:val="005F3188"/>
    <w:rsid w:val="005F3F1E"/>
    <w:rsid w:val="005F4A92"/>
    <w:rsid w:val="005F513A"/>
    <w:rsid w:val="005F5339"/>
    <w:rsid w:val="005F6788"/>
    <w:rsid w:val="005F6802"/>
    <w:rsid w:val="005F7676"/>
    <w:rsid w:val="005F7AA7"/>
    <w:rsid w:val="005F7E9B"/>
    <w:rsid w:val="0060087B"/>
    <w:rsid w:val="00600B61"/>
    <w:rsid w:val="00600FA0"/>
    <w:rsid w:val="006014F5"/>
    <w:rsid w:val="0060161C"/>
    <w:rsid w:val="006021A2"/>
    <w:rsid w:val="00602220"/>
    <w:rsid w:val="0060277B"/>
    <w:rsid w:val="00602B32"/>
    <w:rsid w:val="00603770"/>
    <w:rsid w:val="00603893"/>
    <w:rsid w:val="00603E75"/>
    <w:rsid w:val="00604811"/>
    <w:rsid w:val="00604A52"/>
    <w:rsid w:val="00606D06"/>
    <w:rsid w:val="00606E9F"/>
    <w:rsid w:val="00607D0F"/>
    <w:rsid w:val="006103F9"/>
    <w:rsid w:val="006104FD"/>
    <w:rsid w:val="00611124"/>
    <w:rsid w:val="00611879"/>
    <w:rsid w:val="00611F30"/>
    <w:rsid w:val="006125B1"/>
    <w:rsid w:val="006125BA"/>
    <w:rsid w:val="00612DB3"/>
    <w:rsid w:val="00613BC9"/>
    <w:rsid w:val="00613CAE"/>
    <w:rsid w:val="00613DC9"/>
    <w:rsid w:val="00614150"/>
    <w:rsid w:val="00614667"/>
    <w:rsid w:val="00614734"/>
    <w:rsid w:val="006150D6"/>
    <w:rsid w:val="0061591F"/>
    <w:rsid w:val="00615981"/>
    <w:rsid w:val="006159AF"/>
    <w:rsid w:val="00615F22"/>
    <w:rsid w:val="006170BF"/>
    <w:rsid w:val="006170C7"/>
    <w:rsid w:val="00620126"/>
    <w:rsid w:val="006207A6"/>
    <w:rsid w:val="006210D3"/>
    <w:rsid w:val="00621AB3"/>
    <w:rsid w:val="00621CC4"/>
    <w:rsid w:val="00621ED5"/>
    <w:rsid w:val="00622134"/>
    <w:rsid w:val="00622DB2"/>
    <w:rsid w:val="00623082"/>
    <w:rsid w:val="0062325F"/>
    <w:rsid w:val="00623362"/>
    <w:rsid w:val="00623B8E"/>
    <w:rsid w:val="006241AF"/>
    <w:rsid w:val="006243B1"/>
    <w:rsid w:val="006250F5"/>
    <w:rsid w:val="006253D4"/>
    <w:rsid w:val="00625D37"/>
    <w:rsid w:val="006264A5"/>
    <w:rsid w:val="00626910"/>
    <w:rsid w:val="00627C9F"/>
    <w:rsid w:val="00627E08"/>
    <w:rsid w:val="00630867"/>
    <w:rsid w:val="00630E28"/>
    <w:rsid w:val="00630E7F"/>
    <w:rsid w:val="00631459"/>
    <w:rsid w:val="00631AA5"/>
    <w:rsid w:val="00631DB3"/>
    <w:rsid w:val="00631F99"/>
    <w:rsid w:val="00632F8C"/>
    <w:rsid w:val="00633942"/>
    <w:rsid w:val="00634187"/>
    <w:rsid w:val="0063429A"/>
    <w:rsid w:val="00634D88"/>
    <w:rsid w:val="00635CBC"/>
    <w:rsid w:val="00636A11"/>
    <w:rsid w:val="00637467"/>
    <w:rsid w:val="006374A2"/>
    <w:rsid w:val="00637CE3"/>
    <w:rsid w:val="00637D53"/>
    <w:rsid w:val="006405BA"/>
    <w:rsid w:val="006409B7"/>
    <w:rsid w:val="0064154F"/>
    <w:rsid w:val="00642533"/>
    <w:rsid w:val="006426FA"/>
    <w:rsid w:val="00642884"/>
    <w:rsid w:val="006428EE"/>
    <w:rsid w:val="00642E5B"/>
    <w:rsid w:val="00642E61"/>
    <w:rsid w:val="006434D2"/>
    <w:rsid w:val="00643837"/>
    <w:rsid w:val="00643A04"/>
    <w:rsid w:val="00643F26"/>
    <w:rsid w:val="006444D9"/>
    <w:rsid w:val="0064562B"/>
    <w:rsid w:val="00647083"/>
    <w:rsid w:val="00647DD2"/>
    <w:rsid w:val="006507C6"/>
    <w:rsid w:val="00650C66"/>
    <w:rsid w:val="006514A8"/>
    <w:rsid w:val="006533AE"/>
    <w:rsid w:val="00654B39"/>
    <w:rsid w:val="00654D45"/>
    <w:rsid w:val="00654D9B"/>
    <w:rsid w:val="00655AF1"/>
    <w:rsid w:val="00656514"/>
    <w:rsid w:val="006571B2"/>
    <w:rsid w:val="006571BE"/>
    <w:rsid w:val="006601A4"/>
    <w:rsid w:val="00660C53"/>
    <w:rsid w:val="00660CDA"/>
    <w:rsid w:val="0066114C"/>
    <w:rsid w:val="0066141D"/>
    <w:rsid w:val="0066188A"/>
    <w:rsid w:val="00661B12"/>
    <w:rsid w:val="0066256E"/>
    <w:rsid w:val="00662D63"/>
    <w:rsid w:val="00662FC4"/>
    <w:rsid w:val="00663D42"/>
    <w:rsid w:val="0066474D"/>
    <w:rsid w:val="00664B18"/>
    <w:rsid w:val="0066567A"/>
    <w:rsid w:val="006661BC"/>
    <w:rsid w:val="006664E7"/>
    <w:rsid w:val="006666E3"/>
    <w:rsid w:val="00666B2D"/>
    <w:rsid w:val="0066778D"/>
    <w:rsid w:val="006708B8"/>
    <w:rsid w:val="00670A93"/>
    <w:rsid w:val="00670E40"/>
    <w:rsid w:val="00670FF4"/>
    <w:rsid w:val="00671350"/>
    <w:rsid w:val="0067194E"/>
    <w:rsid w:val="006722C6"/>
    <w:rsid w:val="00672E28"/>
    <w:rsid w:val="00673250"/>
    <w:rsid w:val="00673692"/>
    <w:rsid w:val="00674240"/>
    <w:rsid w:val="00674851"/>
    <w:rsid w:val="006751FD"/>
    <w:rsid w:val="00675FE6"/>
    <w:rsid w:val="00680AC1"/>
    <w:rsid w:val="00680CEA"/>
    <w:rsid w:val="00680D88"/>
    <w:rsid w:val="0068105D"/>
    <w:rsid w:val="006813F5"/>
    <w:rsid w:val="00681772"/>
    <w:rsid w:val="00681804"/>
    <w:rsid w:val="00681B35"/>
    <w:rsid w:val="00681C1C"/>
    <w:rsid w:val="0068265B"/>
    <w:rsid w:val="00682B71"/>
    <w:rsid w:val="006832DE"/>
    <w:rsid w:val="006840AC"/>
    <w:rsid w:val="0068417A"/>
    <w:rsid w:val="006843A4"/>
    <w:rsid w:val="006843E8"/>
    <w:rsid w:val="0068616D"/>
    <w:rsid w:val="00687267"/>
    <w:rsid w:val="00687ECE"/>
    <w:rsid w:val="00690013"/>
    <w:rsid w:val="00690141"/>
    <w:rsid w:val="00690501"/>
    <w:rsid w:val="00690838"/>
    <w:rsid w:val="00690BA9"/>
    <w:rsid w:val="006912E8"/>
    <w:rsid w:val="0069148F"/>
    <w:rsid w:val="00691B23"/>
    <w:rsid w:val="0069289B"/>
    <w:rsid w:val="00692B36"/>
    <w:rsid w:val="0069306F"/>
    <w:rsid w:val="00693FD3"/>
    <w:rsid w:val="006946F9"/>
    <w:rsid w:val="006947C9"/>
    <w:rsid w:val="006949A4"/>
    <w:rsid w:val="00694F47"/>
    <w:rsid w:val="006952F7"/>
    <w:rsid w:val="00695DC7"/>
    <w:rsid w:val="006978F8"/>
    <w:rsid w:val="006A029B"/>
    <w:rsid w:val="006A0670"/>
    <w:rsid w:val="006A0A9C"/>
    <w:rsid w:val="006A0B69"/>
    <w:rsid w:val="006A0FDE"/>
    <w:rsid w:val="006A153C"/>
    <w:rsid w:val="006A1AE3"/>
    <w:rsid w:val="006A2F04"/>
    <w:rsid w:val="006A37DF"/>
    <w:rsid w:val="006A41BB"/>
    <w:rsid w:val="006A4315"/>
    <w:rsid w:val="006A54D8"/>
    <w:rsid w:val="006A57AC"/>
    <w:rsid w:val="006A585B"/>
    <w:rsid w:val="006A5E58"/>
    <w:rsid w:val="006A5FEE"/>
    <w:rsid w:val="006A6319"/>
    <w:rsid w:val="006A6AD7"/>
    <w:rsid w:val="006B0379"/>
    <w:rsid w:val="006B06D5"/>
    <w:rsid w:val="006B08B5"/>
    <w:rsid w:val="006B180B"/>
    <w:rsid w:val="006B27F5"/>
    <w:rsid w:val="006B29B8"/>
    <w:rsid w:val="006B4320"/>
    <w:rsid w:val="006B51D6"/>
    <w:rsid w:val="006B65CC"/>
    <w:rsid w:val="006B683C"/>
    <w:rsid w:val="006B709E"/>
    <w:rsid w:val="006B7977"/>
    <w:rsid w:val="006B7C51"/>
    <w:rsid w:val="006C01AE"/>
    <w:rsid w:val="006C0743"/>
    <w:rsid w:val="006C161D"/>
    <w:rsid w:val="006C1696"/>
    <w:rsid w:val="006C1C91"/>
    <w:rsid w:val="006C1D23"/>
    <w:rsid w:val="006C1E96"/>
    <w:rsid w:val="006C206F"/>
    <w:rsid w:val="006C220F"/>
    <w:rsid w:val="006C2B63"/>
    <w:rsid w:val="006C3319"/>
    <w:rsid w:val="006C381B"/>
    <w:rsid w:val="006C3D2A"/>
    <w:rsid w:val="006C3F3E"/>
    <w:rsid w:val="006C4C4B"/>
    <w:rsid w:val="006C4C75"/>
    <w:rsid w:val="006C5853"/>
    <w:rsid w:val="006C598D"/>
    <w:rsid w:val="006C5AE3"/>
    <w:rsid w:val="006C5C9B"/>
    <w:rsid w:val="006C6033"/>
    <w:rsid w:val="006C6D03"/>
    <w:rsid w:val="006C6E54"/>
    <w:rsid w:val="006C7BAC"/>
    <w:rsid w:val="006C7DF7"/>
    <w:rsid w:val="006D01A0"/>
    <w:rsid w:val="006D0B12"/>
    <w:rsid w:val="006D0E26"/>
    <w:rsid w:val="006D1084"/>
    <w:rsid w:val="006D10BE"/>
    <w:rsid w:val="006D1B75"/>
    <w:rsid w:val="006D1D3E"/>
    <w:rsid w:val="006D1DB3"/>
    <w:rsid w:val="006D20D1"/>
    <w:rsid w:val="006D22F7"/>
    <w:rsid w:val="006D2467"/>
    <w:rsid w:val="006D335F"/>
    <w:rsid w:val="006D3657"/>
    <w:rsid w:val="006D3838"/>
    <w:rsid w:val="006D442E"/>
    <w:rsid w:val="006D451C"/>
    <w:rsid w:val="006D4626"/>
    <w:rsid w:val="006D561F"/>
    <w:rsid w:val="006D617A"/>
    <w:rsid w:val="006D62B0"/>
    <w:rsid w:val="006D7386"/>
    <w:rsid w:val="006E0828"/>
    <w:rsid w:val="006E0944"/>
    <w:rsid w:val="006E1397"/>
    <w:rsid w:val="006E2571"/>
    <w:rsid w:val="006E2AB7"/>
    <w:rsid w:val="006E2ABC"/>
    <w:rsid w:val="006E2D20"/>
    <w:rsid w:val="006E2EAF"/>
    <w:rsid w:val="006E371B"/>
    <w:rsid w:val="006E398E"/>
    <w:rsid w:val="006E3A85"/>
    <w:rsid w:val="006E4046"/>
    <w:rsid w:val="006E4383"/>
    <w:rsid w:val="006E44FC"/>
    <w:rsid w:val="006E4B86"/>
    <w:rsid w:val="006E4EFB"/>
    <w:rsid w:val="006E4F0D"/>
    <w:rsid w:val="006E5533"/>
    <w:rsid w:val="006E6986"/>
    <w:rsid w:val="006E6C44"/>
    <w:rsid w:val="006E6E67"/>
    <w:rsid w:val="006E7505"/>
    <w:rsid w:val="006E7543"/>
    <w:rsid w:val="006E7559"/>
    <w:rsid w:val="006E797E"/>
    <w:rsid w:val="006E7E13"/>
    <w:rsid w:val="006F0625"/>
    <w:rsid w:val="006F1177"/>
    <w:rsid w:val="006F120A"/>
    <w:rsid w:val="006F17E2"/>
    <w:rsid w:val="006F18A5"/>
    <w:rsid w:val="006F250E"/>
    <w:rsid w:val="006F2814"/>
    <w:rsid w:val="006F2ADE"/>
    <w:rsid w:val="006F344A"/>
    <w:rsid w:val="006F35A6"/>
    <w:rsid w:val="006F45D0"/>
    <w:rsid w:val="006F4BE3"/>
    <w:rsid w:val="006F5060"/>
    <w:rsid w:val="006F5C7F"/>
    <w:rsid w:val="006F6C49"/>
    <w:rsid w:val="006F75C6"/>
    <w:rsid w:val="00700CF8"/>
    <w:rsid w:val="00700D9E"/>
    <w:rsid w:val="00701BD2"/>
    <w:rsid w:val="00701C5C"/>
    <w:rsid w:val="00701D25"/>
    <w:rsid w:val="00702150"/>
    <w:rsid w:val="00702235"/>
    <w:rsid w:val="00702913"/>
    <w:rsid w:val="00702C63"/>
    <w:rsid w:val="00702E7D"/>
    <w:rsid w:val="00703A29"/>
    <w:rsid w:val="00703D78"/>
    <w:rsid w:val="00705A69"/>
    <w:rsid w:val="0070697F"/>
    <w:rsid w:val="00710617"/>
    <w:rsid w:val="00710763"/>
    <w:rsid w:val="007110C7"/>
    <w:rsid w:val="007116A0"/>
    <w:rsid w:val="00711BCD"/>
    <w:rsid w:val="00711E1E"/>
    <w:rsid w:val="0071227D"/>
    <w:rsid w:val="0071273A"/>
    <w:rsid w:val="00712B8E"/>
    <w:rsid w:val="0071397A"/>
    <w:rsid w:val="0071397C"/>
    <w:rsid w:val="00713E2D"/>
    <w:rsid w:val="00713E37"/>
    <w:rsid w:val="0071493A"/>
    <w:rsid w:val="0071532A"/>
    <w:rsid w:val="007155F6"/>
    <w:rsid w:val="00715ED8"/>
    <w:rsid w:val="0071630E"/>
    <w:rsid w:val="00716462"/>
    <w:rsid w:val="00716491"/>
    <w:rsid w:val="00716596"/>
    <w:rsid w:val="007165FE"/>
    <w:rsid w:val="0071709C"/>
    <w:rsid w:val="007176FE"/>
    <w:rsid w:val="00717768"/>
    <w:rsid w:val="007203AB"/>
    <w:rsid w:val="00720517"/>
    <w:rsid w:val="007218EE"/>
    <w:rsid w:val="0072222C"/>
    <w:rsid w:val="0072226D"/>
    <w:rsid w:val="00722419"/>
    <w:rsid w:val="00722816"/>
    <w:rsid w:val="00722F71"/>
    <w:rsid w:val="007230B4"/>
    <w:rsid w:val="007231B0"/>
    <w:rsid w:val="00723ECC"/>
    <w:rsid w:val="00724247"/>
    <w:rsid w:val="0072436E"/>
    <w:rsid w:val="00724BAA"/>
    <w:rsid w:val="00725C64"/>
    <w:rsid w:val="00725D01"/>
    <w:rsid w:val="00727746"/>
    <w:rsid w:val="00727F5E"/>
    <w:rsid w:val="00730E36"/>
    <w:rsid w:val="00730EF3"/>
    <w:rsid w:val="00731043"/>
    <w:rsid w:val="007318A9"/>
    <w:rsid w:val="00732714"/>
    <w:rsid w:val="00732B6B"/>
    <w:rsid w:val="007330B5"/>
    <w:rsid w:val="007335CF"/>
    <w:rsid w:val="007335DE"/>
    <w:rsid w:val="0073362B"/>
    <w:rsid w:val="0073392E"/>
    <w:rsid w:val="00733AB8"/>
    <w:rsid w:val="00734511"/>
    <w:rsid w:val="00734B98"/>
    <w:rsid w:val="00734D98"/>
    <w:rsid w:val="00735171"/>
    <w:rsid w:val="0073589D"/>
    <w:rsid w:val="007359F0"/>
    <w:rsid w:val="00735D05"/>
    <w:rsid w:val="00736005"/>
    <w:rsid w:val="0073738A"/>
    <w:rsid w:val="007373B9"/>
    <w:rsid w:val="00737840"/>
    <w:rsid w:val="00737D32"/>
    <w:rsid w:val="00737FDE"/>
    <w:rsid w:val="00740A2D"/>
    <w:rsid w:val="00740E34"/>
    <w:rsid w:val="007413B5"/>
    <w:rsid w:val="0074172C"/>
    <w:rsid w:val="0074269E"/>
    <w:rsid w:val="00743E54"/>
    <w:rsid w:val="007440D6"/>
    <w:rsid w:val="007441C0"/>
    <w:rsid w:val="00744965"/>
    <w:rsid w:val="00744F72"/>
    <w:rsid w:val="0074575D"/>
    <w:rsid w:val="00746261"/>
    <w:rsid w:val="00746616"/>
    <w:rsid w:val="00746CFA"/>
    <w:rsid w:val="00746D09"/>
    <w:rsid w:val="00747287"/>
    <w:rsid w:val="00747AFF"/>
    <w:rsid w:val="00750024"/>
    <w:rsid w:val="007506B9"/>
    <w:rsid w:val="007507A5"/>
    <w:rsid w:val="00751443"/>
    <w:rsid w:val="0075169D"/>
    <w:rsid w:val="00752072"/>
    <w:rsid w:val="007523CE"/>
    <w:rsid w:val="00752DF0"/>
    <w:rsid w:val="00753AD6"/>
    <w:rsid w:val="00753E1D"/>
    <w:rsid w:val="007542BB"/>
    <w:rsid w:val="007546CC"/>
    <w:rsid w:val="00755076"/>
    <w:rsid w:val="00755099"/>
    <w:rsid w:val="00755C66"/>
    <w:rsid w:val="007565E9"/>
    <w:rsid w:val="00756D56"/>
    <w:rsid w:val="00756EB4"/>
    <w:rsid w:val="00757A19"/>
    <w:rsid w:val="0076068A"/>
    <w:rsid w:val="00760774"/>
    <w:rsid w:val="00762269"/>
    <w:rsid w:val="00762352"/>
    <w:rsid w:val="00762792"/>
    <w:rsid w:val="00762E5E"/>
    <w:rsid w:val="00764166"/>
    <w:rsid w:val="007641E8"/>
    <w:rsid w:val="00764414"/>
    <w:rsid w:val="00764B70"/>
    <w:rsid w:val="00765121"/>
    <w:rsid w:val="00765558"/>
    <w:rsid w:val="00765FCF"/>
    <w:rsid w:val="0076609D"/>
    <w:rsid w:val="00766BB6"/>
    <w:rsid w:val="00766DD4"/>
    <w:rsid w:val="007677C6"/>
    <w:rsid w:val="007678B3"/>
    <w:rsid w:val="00770168"/>
    <w:rsid w:val="00770D0D"/>
    <w:rsid w:val="00770EB6"/>
    <w:rsid w:val="00773B3E"/>
    <w:rsid w:val="007742C5"/>
    <w:rsid w:val="00774A90"/>
    <w:rsid w:val="00774C35"/>
    <w:rsid w:val="007757EE"/>
    <w:rsid w:val="00775A2E"/>
    <w:rsid w:val="00776030"/>
    <w:rsid w:val="00776097"/>
    <w:rsid w:val="00776844"/>
    <w:rsid w:val="00776D9C"/>
    <w:rsid w:val="00776F89"/>
    <w:rsid w:val="00780036"/>
    <w:rsid w:val="00780042"/>
    <w:rsid w:val="00780283"/>
    <w:rsid w:val="007802B4"/>
    <w:rsid w:val="00780440"/>
    <w:rsid w:val="00780C0D"/>
    <w:rsid w:val="00780E0F"/>
    <w:rsid w:val="00780F0F"/>
    <w:rsid w:val="00781084"/>
    <w:rsid w:val="0078169D"/>
    <w:rsid w:val="00781A37"/>
    <w:rsid w:val="00781B77"/>
    <w:rsid w:val="00781C11"/>
    <w:rsid w:val="00782218"/>
    <w:rsid w:val="00782B27"/>
    <w:rsid w:val="00782E1E"/>
    <w:rsid w:val="00783024"/>
    <w:rsid w:val="00783EA2"/>
    <w:rsid w:val="007841FF"/>
    <w:rsid w:val="00784576"/>
    <w:rsid w:val="0078481F"/>
    <w:rsid w:val="00784E3C"/>
    <w:rsid w:val="00785A6F"/>
    <w:rsid w:val="00786170"/>
    <w:rsid w:val="0078638A"/>
    <w:rsid w:val="00786531"/>
    <w:rsid w:val="00786F14"/>
    <w:rsid w:val="007879F9"/>
    <w:rsid w:val="0079021F"/>
    <w:rsid w:val="007903FB"/>
    <w:rsid w:val="00790C6C"/>
    <w:rsid w:val="00792058"/>
    <w:rsid w:val="00792B13"/>
    <w:rsid w:val="0079305A"/>
    <w:rsid w:val="00793703"/>
    <w:rsid w:val="00793919"/>
    <w:rsid w:val="00793BBA"/>
    <w:rsid w:val="00793BEF"/>
    <w:rsid w:val="00794138"/>
    <w:rsid w:val="0079436C"/>
    <w:rsid w:val="00794373"/>
    <w:rsid w:val="0079525C"/>
    <w:rsid w:val="00795435"/>
    <w:rsid w:val="00795713"/>
    <w:rsid w:val="007957CA"/>
    <w:rsid w:val="00795A97"/>
    <w:rsid w:val="00796C85"/>
    <w:rsid w:val="00796CB4"/>
    <w:rsid w:val="00797931"/>
    <w:rsid w:val="007979B6"/>
    <w:rsid w:val="00797A08"/>
    <w:rsid w:val="00797F65"/>
    <w:rsid w:val="007A03ED"/>
    <w:rsid w:val="007A0967"/>
    <w:rsid w:val="007A0C5A"/>
    <w:rsid w:val="007A13F7"/>
    <w:rsid w:val="007A20B5"/>
    <w:rsid w:val="007A24DA"/>
    <w:rsid w:val="007A2C3D"/>
    <w:rsid w:val="007A317C"/>
    <w:rsid w:val="007A418C"/>
    <w:rsid w:val="007A50B5"/>
    <w:rsid w:val="007A5106"/>
    <w:rsid w:val="007A51CA"/>
    <w:rsid w:val="007A5532"/>
    <w:rsid w:val="007A5615"/>
    <w:rsid w:val="007A5B4D"/>
    <w:rsid w:val="007A6247"/>
    <w:rsid w:val="007A6BB8"/>
    <w:rsid w:val="007A7065"/>
    <w:rsid w:val="007A7408"/>
    <w:rsid w:val="007A768B"/>
    <w:rsid w:val="007A7E57"/>
    <w:rsid w:val="007B0284"/>
    <w:rsid w:val="007B03FD"/>
    <w:rsid w:val="007B08FC"/>
    <w:rsid w:val="007B1394"/>
    <w:rsid w:val="007B1AF6"/>
    <w:rsid w:val="007B20AC"/>
    <w:rsid w:val="007B2211"/>
    <w:rsid w:val="007B248A"/>
    <w:rsid w:val="007B2534"/>
    <w:rsid w:val="007B2F6A"/>
    <w:rsid w:val="007B339A"/>
    <w:rsid w:val="007B384B"/>
    <w:rsid w:val="007B3BAE"/>
    <w:rsid w:val="007B44AC"/>
    <w:rsid w:val="007B48A8"/>
    <w:rsid w:val="007B4944"/>
    <w:rsid w:val="007B4D93"/>
    <w:rsid w:val="007B5168"/>
    <w:rsid w:val="007B5682"/>
    <w:rsid w:val="007B5822"/>
    <w:rsid w:val="007B58B5"/>
    <w:rsid w:val="007B59C4"/>
    <w:rsid w:val="007B5B47"/>
    <w:rsid w:val="007B61AF"/>
    <w:rsid w:val="007B7236"/>
    <w:rsid w:val="007B7291"/>
    <w:rsid w:val="007B74A3"/>
    <w:rsid w:val="007B756D"/>
    <w:rsid w:val="007C0B0C"/>
    <w:rsid w:val="007C1D61"/>
    <w:rsid w:val="007C208F"/>
    <w:rsid w:val="007C230A"/>
    <w:rsid w:val="007C242C"/>
    <w:rsid w:val="007C2623"/>
    <w:rsid w:val="007C357F"/>
    <w:rsid w:val="007C3F4E"/>
    <w:rsid w:val="007C42CA"/>
    <w:rsid w:val="007C433A"/>
    <w:rsid w:val="007C4CA3"/>
    <w:rsid w:val="007C4ED1"/>
    <w:rsid w:val="007C5257"/>
    <w:rsid w:val="007C685A"/>
    <w:rsid w:val="007C6AA7"/>
    <w:rsid w:val="007C758D"/>
    <w:rsid w:val="007D0809"/>
    <w:rsid w:val="007D17B6"/>
    <w:rsid w:val="007D1ADE"/>
    <w:rsid w:val="007D1D0E"/>
    <w:rsid w:val="007D1F78"/>
    <w:rsid w:val="007D1FEF"/>
    <w:rsid w:val="007D204C"/>
    <w:rsid w:val="007D230A"/>
    <w:rsid w:val="007D238C"/>
    <w:rsid w:val="007D23C0"/>
    <w:rsid w:val="007D28F6"/>
    <w:rsid w:val="007D3498"/>
    <w:rsid w:val="007D368D"/>
    <w:rsid w:val="007D3D37"/>
    <w:rsid w:val="007D4323"/>
    <w:rsid w:val="007D4331"/>
    <w:rsid w:val="007D44EA"/>
    <w:rsid w:val="007D4626"/>
    <w:rsid w:val="007D4657"/>
    <w:rsid w:val="007D482B"/>
    <w:rsid w:val="007D4A6A"/>
    <w:rsid w:val="007D4D21"/>
    <w:rsid w:val="007D4DEA"/>
    <w:rsid w:val="007D51F2"/>
    <w:rsid w:val="007D5575"/>
    <w:rsid w:val="007D561F"/>
    <w:rsid w:val="007D5AD8"/>
    <w:rsid w:val="007D5F18"/>
    <w:rsid w:val="007D61CD"/>
    <w:rsid w:val="007D65D4"/>
    <w:rsid w:val="007D73CE"/>
    <w:rsid w:val="007D75F6"/>
    <w:rsid w:val="007D76F1"/>
    <w:rsid w:val="007D7D0E"/>
    <w:rsid w:val="007E06DB"/>
    <w:rsid w:val="007E0897"/>
    <w:rsid w:val="007E0B99"/>
    <w:rsid w:val="007E0C45"/>
    <w:rsid w:val="007E1783"/>
    <w:rsid w:val="007E194A"/>
    <w:rsid w:val="007E19B9"/>
    <w:rsid w:val="007E1FDE"/>
    <w:rsid w:val="007E290A"/>
    <w:rsid w:val="007E2CE0"/>
    <w:rsid w:val="007E2FBC"/>
    <w:rsid w:val="007E3000"/>
    <w:rsid w:val="007E3780"/>
    <w:rsid w:val="007E3DBC"/>
    <w:rsid w:val="007E41A7"/>
    <w:rsid w:val="007E4A39"/>
    <w:rsid w:val="007E57D2"/>
    <w:rsid w:val="007E5CA4"/>
    <w:rsid w:val="007E66BC"/>
    <w:rsid w:val="007E6857"/>
    <w:rsid w:val="007E6BF6"/>
    <w:rsid w:val="007E6D4D"/>
    <w:rsid w:val="007E7198"/>
    <w:rsid w:val="007E7560"/>
    <w:rsid w:val="007E7D8F"/>
    <w:rsid w:val="007E7ED1"/>
    <w:rsid w:val="007F0921"/>
    <w:rsid w:val="007F1079"/>
    <w:rsid w:val="007F13DF"/>
    <w:rsid w:val="007F16F9"/>
    <w:rsid w:val="007F23F0"/>
    <w:rsid w:val="007F253B"/>
    <w:rsid w:val="007F2FCA"/>
    <w:rsid w:val="007F314D"/>
    <w:rsid w:val="007F34D6"/>
    <w:rsid w:val="007F34EB"/>
    <w:rsid w:val="007F371A"/>
    <w:rsid w:val="007F3F0C"/>
    <w:rsid w:val="007F4383"/>
    <w:rsid w:val="007F4982"/>
    <w:rsid w:val="007F4E2B"/>
    <w:rsid w:val="007F58BC"/>
    <w:rsid w:val="007F5942"/>
    <w:rsid w:val="007F5B5B"/>
    <w:rsid w:val="007F657C"/>
    <w:rsid w:val="007F6692"/>
    <w:rsid w:val="007F75BE"/>
    <w:rsid w:val="007F7986"/>
    <w:rsid w:val="00800B2C"/>
    <w:rsid w:val="00800B5F"/>
    <w:rsid w:val="00801942"/>
    <w:rsid w:val="0080196D"/>
    <w:rsid w:val="00801DCA"/>
    <w:rsid w:val="00801EE9"/>
    <w:rsid w:val="00802902"/>
    <w:rsid w:val="008033E5"/>
    <w:rsid w:val="0080430B"/>
    <w:rsid w:val="0080492C"/>
    <w:rsid w:val="0080561E"/>
    <w:rsid w:val="0080579A"/>
    <w:rsid w:val="00805B71"/>
    <w:rsid w:val="00805EE5"/>
    <w:rsid w:val="00805F2F"/>
    <w:rsid w:val="00806460"/>
    <w:rsid w:val="00806DEC"/>
    <w:rsid w:val="00807441"/>
    <w:rsid w:val="008076A6"/>
    <w:rsid w:val="00807738"/>
    <w:rsid w:val="00807AD4"/>
    <w:rsid w:val="008101BC"/>
    <w:rsid w:val="00810307"/>
    <w:rsid w:val="00810725"/>
    <w:rsid w:val="00811480"/>
    <w:rsid w:val="00811CC4"/>
    <w:rsid w:val="0081216F"/>
    <w:rsid w:val="0081245E"/>
    <w:rsid w:val="00812959"/>
    <w:rsid w:val="00812BC6"/>
    <w:rsid w:val="00813B4B"/>
    <w:rsid w:val="00814164"/>
    <w:rsid w:val="00814776"/>
    <w:rsid w:val="00814C65"/>
    <w:rsid w:val="00814F5A"/>
    <w:rsid w:val="0081619B"/>
    <w:rsid w:val="00816A49"/>
    <w:rsid w:val="008173B7"/>
    <w:rsid w:val="008175AF"/>
    <w:rsid w:val="008177DB"/>
    <w:rsid w:val="008206DB"/>
    <w:rsid w:val="00820B01"/>
    <w:rsid w:val="00821713"/>
    <w:rsid w:val="00821BD1"/>
    <w:rsid w:val="00821C94"/>
    <w:rsid w:val="00821DF3"/>
    <w:rsid w:val="00822193"/>
    <w:rsid w:val="008224D9"/>
    <w:rsid w:val="008225D4"/>
    <w:rsid w:val="008227AF"/>
    <w:rsid w:val="008228C5"/>
    <w:rsid w:val="008238FA"/>
    <w:rsid w:val="00823F0B"/>
    <w:rsid w:val="00824524"/>
    <w:rsid w:val="00824850"/>
    <w:rsid w:val="00825262"/>
    <w:rsid w:val="008252EC"/>
    <w:rsid w:val="00825660"/>
    <w:rsid w:val="00825AAB"/>
    <w:rsid w:val="008261A8"/>
    <w:rsid w:val="008271C9"/>
    <w:rsid w:val="00831491"/>
    <w:rsid w:val="00831498"/>
    <w:rsid w:val="00831D36"/>
    <w:rsid w:val="00831DEF"/>
    <w:rsid w:val="00831E96"/>
    <w:rsid w:val="00832289"/>
    <w:rsid w:val="008323C2"/>
    <w:rsid w:val="0083243B"/>
    <w:rsid w:val="00832E4E"/>
    <w:rsid w:val="0083355E"/>
    <w:rsid w:val="008336A5"/>
    <w:rsid w:val="00833A3C"/>
    <w:rsid w:val="00834C46"/>
    <w:rsid w:val="0083608C"/>
    <w:rsid w:val="008365DF"/>
    <w:rsid w:val="0083735E"/>
    <w:rsid w:val="008378C6"/>
    <w:rsid w:val="00837E55"/>
    <w:rsid w:val="00840775"/>
    <w:rsid w:val="0084145E"/>
    <w:rsid w:val="00841E4E"/>
    <w:rsid w:val="0084246A"/>
    <w:rsid w:val="00842A12"/>
    <w:rsid w:val="00842E65"/>
    <w:rsid w:val="0084337E"/>
    <w:rsid w:val="00843CE0"/>
    <w:rsid w:val="00845585"/>
    <w:rsid w:val="00846014"/>
    <w:rsid w:val="00846F22"/>
    <w:rsid w:val="008477A3"/>
    <w:rsid w:val="00847871"/>
    <w:rsid w:val="00850056"/>
    <w:rsid w:val="0085038B"/>
    <w:rsid w:val="00850F87"/>
    <w:rsid w:val="008513C8"/>
    <w:rsid w:val="0085161E"/>
    <w:rsid w:val="008516A5"/>
    <w:rsid w:val="0085198D"/>
    <w:rsid w:val="00851A03"/>
    <w:rsid w:val="00851E5B"/>
    <w:rsid w:val="00852120"/>
    <w:rsid w:val="00852301"/>
    <w:rsid w:val="0085235D"/>
    <w:rsid w:val="0085239C"/>
    <w:rsid w:val="008524C4"/>
    <w:rsid w:val="008525B6"/>
    <w:rsid w:val="008527BB"/>
    <w:rsid w:val="00852ABB"/>
    <w:rsid w:val="00853908"/>
    <w:rsid w:val="00853ACF"/>
    <w:rsid w:val="00853E5C"/>
    <w:rsid w:val="00853F5F"/>
    <w:rsid w:val="008542B5"/>
    <w:rsid w:val="00855389"/>
    <w:rsid w:val="0085539D"/>
    <w:rsid w:val="008556A0"/>
    <w:rsid w:val="008559CE"/>
    <w:rsid w:val="00855AA3"/>
    <w:rsid w:val="00855C74"/>
    <w:rsid w:val="00856704"/>
    <w:rsid w:val="00856CF8"/>
    <w:rsid w:val="008573FF"/>
    <w:rsid w:val="00857753"/>
    <w:rsid w:val="00857FCF"/>
    <w:rsid w:val="00860145"/>
    <w:rsid w:val="00860601"/>
    <w:rsid w:val="00860915"/>
    <w:rsid w:val="00860A72"/>
    <w:rsid w:val="00860D9C"/>
    <w:rsid w:val="008612E0"/>
    <w:rsid w:val="008613A0"/>
    <w:rsid w:val="00861989"/>
    <w:rsid w:val="008621A0"/>
    <w:rsid w:val="008624BA"/>
    <w:rsid w:val="008627AF"/>
    <w:rsid w:val="00862B68"/>
    <w:rsid w:val="0086325B"/>
    <w:rsid w:val="008637EE"/>
    <w:rsid w:val="00863901"/>
    <w:rsid w:val="00863A51"/>
    <w:rsid w:val="00863BA0"/>
    <w:rsid w:val="0086400C"/>
    <w:rsid w:val="00864243"/>
    <w:rsid w:val="0086479F"/>
    <w:rsid w:val="00864A1A"/>
    <w:rsid w:val="00865174"/>
    <w:rsid w:val="008657CE"/>
    <w:rsid w:val="00865C66"/>
    <w:rsid w:val="00865DCC"/>
    <w:rsid w:val="00865EF4"/>
    <w:rsid w:val="00866D1B"/>
    <w:rsid w:val="0086702C"/>
    <w:rsid w:val="008671C2"/>
    <w:rsid w:val="008673FF"/>
    <w:rsid w:val="008674C4"/>
    <w:rsid w:val="00867963"/>
    <w:rsid w:val="008704C4"/>
    <w:rsid w:val="00871B58"/>
    <w:rsid w:val="00872849"/>
    <w:rsid w:val="008728BE"/>
    <w:rsid w:val="008735F0"/>
    <w:rsid w:val="00873A29"/>
    <w:rsid w:val="008747D2"/>
    <w:rsid w:val="00874C1F"/>
    <w:rsid w:val="00875836"/>
    <w:rsid w:val="00875B88"/>
    <w:rsid w:val="00875CA2"/>
    <w:rsid w:val="00875DC4"/>
    <w:rsid w:val="00876599"/>
    <w:rsid w:val="00877415"/>
    <w:rsid w:val="00877841"/>
    <w:rsid w:val="0088089F"/>
    <w:rsid w:val="00880B11"/>
    <w:rsid w:val="00880F95"/>
    <w:rsid w:val="008810EF"/>
    <w:rsid w:val="008818D6"/>
    <w:rsid w:val="00882208"/>
    <w:rsid w:val="00882719"/>
    <w:rsid w:val="0088322E"/>
    <w:rsid w:val="0088337A"/>
    <w:rsid w:val="00883D23"/>
    <w:rsid w:val="00884C56"/>
    <w:rsid w:val="008854E2"/>
    <w:rsid w:val="008866D7"/>
    <w:rsid w:val="008867E7"/>
    <w:rsid w:val="00886F21"/>
    <w:rsid w:val="00890015"/>
    <w:rsid w:val="0089136A"/>
    <w:rsid w:val="0089146A"/>
    <w:rsid w:val="00891847"/>
    <w:rsid w:val="00891924"/>
    <w:rsid w:val="008919D1"/>
    <w:rsid w:val="00891B98"/>
    <w:rsid w:val="00891BC5"/>
    <w:rsid w:val="00891FA6"/>
    <w:rsid w:val="008920A8"/>
    <w:rsid w:val="008922FB"/>
    <w:rsid w:val="0089284F"/>
    <w:rsid w:val="0089299F"/>
    <w:rsid w:val="00892C00"/>
    <w:rsid w:val="00892F25"/>
    <w:rsid w:val="00893027"/>
    <w:rsid w:val="0089516A"/>
    <w:rsid w:val="00895324"/>
    <w:rsid w:val="00895FFC"/>
    <w:rsid w:val="0089611E"/>
    <w:rsid w:val="008966C4"/>
    <w:rsid w:val="00896C6C"/>
    <w:rsid w:val="00896D0E"/>
    <w:rsid w:val="00896E8A"/>
    <w:rsid w:val="008970BB"/>
    <w:rsid w:val="00897197"/>
    <w:rsid w:val="00897D8E"/>
    <w:rsid w:val="00897F42"/>
    <w:rsid w:val="008A01EF"/>
    <w:rsid w:val="008A06A8"/>
    <w:rsid w:val="008A0736"/>
    <w:rsid w:val="008A19D8"/>
    <w:rsid w:val="008A1F67"/>
    <w:rsid w:val="008A216B"/>
    <w:rsid w:val="008A272F"/>
    <w:rsid w:val="008A2A66"/>
    <w:rsid w:val="008A36FF"/>
    <w:rsid w:val="008A383E"/>
    <w:rsid w:val="008A4A13"/>
    <w:rsid w:val="008A4E5C"/>
    <w:rsid w:val="008A4EB1"/>
    <w:rsid w:val="008A55B4"/>
    <w:rsid w:val="008A5961"/>
    <w:rsid w:val="008A61E8"/>
    <w:rsid w:val="008A6FF5"/>
    <w:rsid w:val="008A7221"/>
    <w:rsid w:val="008A79CA"/>
    <w:rsid w:val="008A7F43"/>
    <w:rsid w:val="008B0A53"/>
    <w:rsid w:val="008B0B2F"/>
    <w:rsid w:val="008B0DC3"/>
    <w:rsid w:val="008B159C"/>
    <w:rsid w:val="008B17C1"/>
    <w:rsid w:val="008B1B5F"/>
    <w:rsid w:val="008B2131"/>
    <w:rsid w:val="008B21A1"/>
    <w:rsid w:val="008B2411"/>
    <w:rsid w:val="008B2954"/>
    <w:rsid w:val="008B2E75"/>
    <w:rsid w:val="008B3285"/>
    <w:rsid w:val="008B331B"/>
    <w:rsid w:val="008B385B"/>
    <w:rsid w:val="008B3A22"/>
    <w:rsid w:val="008B4276"/>
    <w:rsid w:val="008B4470"/>
    <w:rsid w:val="008B495D"/>
    <w:rsid w:val="008B4C3C"/>
    <w:rsid w:val="008B4FD9"/>
    <w:rsid w:val="008B5365"/>
    <w:rsid w:val="008B5452"/>
    <w:rsid w:val="008B57A5"/>
    <w:rsid w:val="008B5998"/>
    <w:rsid w:val="008B5A27"/>
    <w:rsid w:val="008B6BBC"/>
    <w:rsid w:val="008B6D8F"/>
    <w:rsid w:val="008B6DB5"/>
    <w:rsid w:val="008B7307"/>
    <w:rsid w:val="008B760C"/>
    <w:rsid w:val="008B7A43"/>
    <w:rsid w:val="008C060D"/>
    <w:rsid w:val="008C0793"/>
    <w:rsid w:val="008C0996"/>
    <w:rsid w:val="008C0A87"/>
    <w:rsid w:val="008C0D17"/>
    <w:rsid w:val="008C1982"/>
    <w:rsid w:val="008C1FBD"/>
    <w:rsid w:val="008C20A0"/>
    <w:rsid w:val="008C22E7"/>
    <w:rsid w:val="008C26C7"/>
    <w:rsid w:val="008C3304"/>
    <w:rsid w:val="008C3398"/>
    <w:rsid w:val="008C3718"/>
    <w:rsid w:val="008C3AF0"/>
    <w:rsid w:val="008C3E50"/>
    <w:rsid w:val="008C41B9"/>
    <w:rsid w:val="008C45A5"/>
    <w:rsid w:val="008C48CC"/>
    <w:rsid w:val="008C5194"/>
    <w:rsid w:val="008C5238"/>
    <w:rsid w:val="008C5288"/>
    <w:rsid w:val="008C57D2"/>
    <w:rsid w:val="008C592B"/>
    <w:rsid w:val="008C6665"/>
    <w:rsid w:val="008C70D2"/>
    <w:rsid w:val="008C7269"/>
    <w:rsid w:val="008C7361"/>
    <w:rsid w:val="008C7C14"/>
    <w:rsid w:val="008C7DF8"/>
    <w:rsid w:val="008D04E3"/>
    <w:rsid w:val="008D0836"/>
    <w:rsid w:val="008D1A32"/>
    <w:rsid w:val="008D1E01"/>
    <w:rsid w:val="008D22AB"/>
    <w:rsid w:val="008D2648"/>
    <w:rsid w:val="008D2700"/>
    <w:rsid w:val="008D27E7"/>
    <w:rsid w:val="008D3342"/>
    <w:rsid w:val="008D3C9D"/>
    <w:rsid w:val="008D3CCC"/>
    <w:rsid w:val="008D3D54"/>
    <w:rsid w:val="008D4097"/>
    <w:rsid w:val="008D46DA"/>
    <w:rsid w:val="008D563E"/>
    <w:rsid w:val="008D5CA7"/>
    <w:rsid w:val="008D5D49"/>
    <w:rsid w:val="008D6AD4"/>
    <w:rsid w:val="008D6CA3"/>
    <w:rsid w:val="008D6E61"/>
    <w:rsid w:val="008D78F8"/>
    <w:rsid w:val="008D7A85"/>
    <w:rsid w:val="008E0663"/>
    <w:rsid w:val="008E0E73"/>
    <w:rsid w:val="008E160D"/>
    <w:rsid w:val="008E19BF"/>
    <w:rsid w:val="008E26C6"/>
    <w:rsid w:val="008E2D06"/>
    <w:rsid w:val="008E3EC0"/>
    <w:rsid w:val="008E5ECB"/>
    <w:rsid w:val="008E609A"/>
    <w:rsid w:val="008E6179"/>
    <w:rsid w:val="008E6C77"/>
    <w:rsid w:val="008E72C2"/>
    <w:rsid w:val="008E7F31"/>
    <w:rsid w:val="008F015F"/>
    <w:rsid w:val="008F0BE2"/>
    <w:rsid w:val="008F13F5"/>
    <w:rsid w:val="008F157A"/>
    <w:rsid w:val="008F27EC"/>
    <w:rsid w:val="008F2D15"/>
    <w:rsid w:val="008F2D17"/>
    <w:rsid w:val="008F322A"/>
    <w:rsid w:val="008F3349"/>
    <w:rsid w:val="008F33B6"/>
    <w:rsid w:val="008F3944"/>
    <w:rsid w:val="008F3E76"/>
    <w:rsid w:val="008F3FA2"/>
    <w:rsid w:val="008F41FD"/>
    <w:rsid w:val="008F5538"/>
    <w:rsid w:val="008F55DB"/>
    <w:rsid w:val="008F57B1"/>
    <w:rsid w:val="008F5C95"/>
    <w:rsid w:val="008F5ED1"/>
    <w:rsid w:val="008F63AF"/>
    <w:rsid w:val="008F6433"/>
    <w:rsid w:val="008F651F"/>
    <w:rsid w:val="008F690E"/>
    <w:rsid w:val="008F6DAE"/>
    <w:rsid w:val="008F75E7"/>
    <w:rsid w:val="008F76AF"/>
    <w:rsid w:val="008F76DB"/>
    <w:rsid w:val="008F7B56"/>
    <w:rsid w:val="009000B9"/>
    <w:rsid w:val="009004B1"/>
    <w:rsid w:val="009007DC"/>
    <w:rsid w:val="0090114C"/>
    <w:rsid w:val="00902073"/>
    <w:rsid w:val="0090264E"/>
    <w:rsid w:val="009027B1"/>
    <w:rsid w:val="00902ABC"/>
    <w:rsid w:val="00902E20"/>
    <w:rsid w:val="00902F98"/>
    <w:rsid w:val="00902FA4"/>
    <w:rsid w:val="00903541"/>
    <w:rsid w:val="0090509E"/>
    <w:rsid w:val="009066D3"/>
    <w:rsid w:val="00906DBC"/>
    <w:rsid w:val="00907517"/>
    <w:rsid w:val="00910054"/>
    <w:rsid w:val="009110F9"/>
    <w:rsid w:val="00911717"/>
    <w:rsid w:val="00911829"/>
    <w:rsid w:val="00911862"/>
    <w:rsid w:val="009118EE"/>
    <w:rsid w:val="00911E77"/>
    <w:rsid w:val="00911FEB"/>
    <w:rsid w:val="00912186"/>
    <w:rsid w:val="00912C78"/>
    <w:rsid w:val="00913A14"/>
    <w:rsid w:val="00913E5F"/>
    <w:rsid w:val="00914C9B"/>
    <w:rsid w:val="00915013"/>
    <w:rsid w:val="00915302"/>
    <w:rsid w:val="00915425"/>
    <w:rsid w:val="0091585A"/>
    <w:rsid w:val="00915AAE"/>
    <w:rsid w:val="00915C13"/>
    <w:rsid w:val="00915EFB"/>
    <w:rsid w:val="00916A66"/>
    <w:rsid w:val="00916B4B"/>
    <w:rsid w:val="009170E5"/>
    <w:rsid w:val="00917E44"/>
    <w:rsid w:val="00917F5F"/>
    <w:rsid w:val="009202E2"/>
    <w:rsid w:val="009202E8"/>
    <w:rsid w:val="00920372"/>
    <w:rsid w:val="009206BC"/>
    <w:rsid w:val="00920B8F"/>
    <w:rsid w:val="00920D41"/>
    <w:rsid w:val="009214E4"/>
    <w:rsid w:val="00921541"/>
    <w:rsid w:val="00922042"/>
    <w:rsid w:val="00922C04"/>
    <w:rsid w:val="00922C57"/>
    <w:rsid w:val="00922DAD"/>
    <w:rsid w:val="009246E8"/>
    <w:rsid w:val="00924A8C"/>
    <w:rsid w:val="00924A97"/>
    <w:rsid w:val="00924CDF"/>
    <w:rsid w:val="00924D1C"/>
    <w:rsid w:val="00925D72"/>
    <w:rsid w:val="00925F96"/>
    <w:rsid w:val="0092631A"/>
    <w:rsid w:val="009265B6"/>
    <w:rsid w:val="00926C93"/>
    <w:rsid w:val="00927323"/>
    <w:rsid w:val="009275AF"/>
    <w:rsid w:val="009279D7"/>
    <w:rsid w:val="00927B09"/>
    <w:rsid w:val="00927CAA"/>
    <w:rsid w:val="0093007F"/>
    <w:rsid w:val="009300E2"/>
    <w:rsid w:val="0093064D"/>
    <w:rsid w:val="00931402"/>
    <w:rsid w:val="009318BF"/>
    <w:rsid w:val="00931D35"/>
    <w:rsid w:val="00931F17"/>
    <w:rsid w:val="009325AE"/>
    <w:rsid w:val="009325ED"/>
    <w:rsid w:val="00932E1C"/>
    <w:rsid w:val="00933A85"/>
    <w:rsid w:val="0093411B"/>
    <w:rsid w:val="00934401"/>
    <w:rsid w:val="00934765"/>
    <w:rsid w:val="00934E29"/>
    <w:rsid w:val="00934E68"/>
    <w:rsid w:val="009354DE"/>
    <w:rsid w:val="00935B1B"/>
    <w:rsid w:val="00935B43"/>
    <w:rsid w:val="009360E1"/>
    <w:rsid w:val="00936393"/>
    <w:rsid w:val="00936C7D"/>
    <w:rsid w:val="0093736F"/>
    <w:rsid w:val="0093793F"/>
    <w:rsid w:val="009400C5"/>
    <w:rsid w:val="009400D8"/>
    <w:rsid w:val="009406D2"/>
    <w:rsid w:val="00940908"/>
    <w:rsid w:val="00941602"/>
    <w:rsid w:val="00942B3C"/>
    <w:rsid w:val="00942CFD"/>
    <w:rsid w:val="00942EE1"/>
    <w:rsid w:val="00943A6D"/>
    <w:rsid w:val="0094433D"/>
    <w:rsid w:val="0094484D"/>
    <w:rsid w:val="0094489D"/>
    <w:rsid w:val="00944B13"/>
    <w:rsid w:val="00944D58"/>
    <w:rsid w:val="00945593"/>
    <w:rsid w:val="009465B4"/>
    <w:rsid w:val="00946722"/>
    <w:rsid w:val="00946742"/>
    <w:rsid w:val="00947060"/>
    <w:rsid w:val="00947463"/>
    <w:rsid w:val="00947B04"/>
    <w:rsid w:val="00947EDE"/>
    <w:rsid w:val="00951068"/>
    <w:rsid w:val="0095112E"/>
    <w:rsid w:val="00951589"/>
    <w:rsid w:val="009534F5"/>
    <w:rsid w:val="00953BC9"/>
    <w:rsid w:val="00953D31"/>
    <w:rsid w:val="00953D64"/>
    <w:rsid w:val="00953DB8"/>
    <w:rsid w:val="009540F3"/>
    <w:rsid w:val="009541B4"/>
    <w:rsid w:val="0095471B"/>
    <w:rsid w:val="00955012"/>
    <w:rsid w:val="0095509B"/>
    <w:rsid w:val="0095513C"/>
    <w:rsid w:val="00956BD3"/>
    <w:rsid w:val="00956D71"/>
    <w:rsid w:val="009574C2"/>
    <w:rsid w:val="00957535"/>
    <w:rsid w:val="00957605"/>
    <w:rsid w:val="009577EA"/>
    <w:rsid w:val="00957D10"/>
    <w:rsid w:val="00957DBD"/>
    <w:rsid w:val="00960D8E"/>
    <w:rsid w:val="00961189"/>
    <w:rsid w:val="00961997"/>
    <w:rsid w:val="00961BAF"/>
    <w:rsid w:val="0096239F"/>
    <w:rsid w:val="00962AC5"/>
    <w:rsid w:val="00963264"/>
    <w:rsid w:val="00965F59"/>
    <w:rsid w:val="00965F9A"/>
    <w:rsid w:val="00966029"/>
    <w:rsid w:val="00966299"/>
    <w:rsid w:val="00966463"/>
    <w:rsid w:val="009669B4"/>
    <w:rsid w:val="00967074"/>
    <w:rsid w:val="009672FF"/>
    <w:rsid w:val="0096741E"/>
    <w:rsid w:val="0096742F"/>
    <w:rsid w:val="00967984"/>
    <w:rsid w:val="00967ABF"/>
    <w:rsid w:val="0097027C"/>
    <w:rsid w:val="009707A3"/>
    <w:rsid w:val="00971216"/>
    <w:rsid w:val="009717E1"/>
    <w:rsid w:val="00972668"/>
    <w:rsid w:val="00972D95"/>
    <w:rsid w:val="00972F26"/>
    <w:rsid w:val="009731A9"/>
    <w:rsid w:val="00975D12"/>
    <w:rsid w:val="009764A4"/>
    <w:rsid w:val="00976904"/>
    <w:rsid w:val="00976F32"/>
    <w:rsid w:val="009775D9"/>
    <w:rsid w:val="00977822"/>
    <w:rsid w:val="00980059"/>
    <w:rsid w:val="009816F6"/>
    <w:rsid w:val="00981716"/>
    <w:rsid w:val="0098186F"/>
    <w:rsid w:val="009818B1"/>
    <w:rsid w:val="00981AB0"/>
    <w:rsid w:val="00982300"/>
    <w:rsid w:val="00983300"/>
    <w:rsid w:val="00983C4C"/>
    <w:rsid w:val="00983ECC"/>
    <w:rsid w:val="00984419"/>
    <w:rsid w:val="00984DE0"/>
    <w:rsid w:val="009850F8"/>
    <w:rsid w:val="009851A4"/>
    <w:rsid w:val="0098624A"/>
    <w:rsid w:val="00986C26"/>
    <w:rsid w:val="009872D4"/>
    <w:rsid w:val="0098756C"/>
    <w:rsid w:val="00987908"/>
    <w:rsid w:val="009903D0"/>
    <w:rsid w:val="009912BB"/>
    <w:rsid w:val="009915AE"/>
    <w:rsid w:val="0099190F"/>
    <w:rsid w:val="009919CE"/>
    <w:rsid w:val="00991CBC"/>
    <w:rsid w:val="009924A4"/>
    <w:rsid w:val="00992A68"/>
    <w:rsid w:val="00993880"/>
    <w:rsid w:val="0099393F"/>
    <w:rsid w:val="0099399B"/>
    <w:rsid w:val="00993EE4"/>
    <w:rsid w:val="0099437F"/>
    <w:rsid w:val="00994854"/>
    <w:rsid w:val="0099492D"/>
    <w:rsid w:val="0099519C"/>
    <w:rsid w:val="0099570A"/>
    <w:rsid w:val="00995C58"/>
    <w:rsid w:val="009963EF"/>
    <w:rsid w:val="009968E4"/>
    <w:rsid w:val="00996AA2"/>
    <w:rsid w:val="009974F7"/>
    <w:rsid w:val="009978D6"/>
    <w:rsid w:val="00997FD6"/>
    <w:rsid w:val="009A0634"/>
    <w:rsid w:val="009A0B33"/>
    <w:rsid w:val="009A0DC9"/>
    <w:rsid w:val="009A0EBC"/>
    <w:rsid w:val="009A0F6B"/>
    <w:rsid w:val="009A1B01"/>
    <w:rsid w:val="009A1E7C"/>
    <w:rsid w:val="009A1F58"/>
    <w:rsid w:val="009A2E33"/>
    <w:rsid w:val="009A30CE"/>
    <w:rsid w:val="009A31C0"/>
    <w:rsid w:val="009A3459"/>
    <w:rsid w:val="009A367C"/>
    <w:rsid w:val="009A3C20"/>
    <w:rsid w:val="009A3F19"/>
    <w:rsid w:val="009A45A0"/>
    <w:rsid w:val="009A487F"/>
    <w:rsid w:val="009A578C"/>
    <w:rsid w:val="009A57D2"/>
    <w:rsid w:val="009A59F1"/>
    <w:rsid w:val="009A61E8"/>
    <w:rsid w:val="009B0097"/>
    <w:rsid w:val="009B0850"/>
    <w:rsid w:val="009B0BEC"/>
    <w:rsid w:val="009B1CF3"/>
    <w:rsid w:val="009B1D9D"/>
    <w:rsid w:val="009B226B"/>
    <w:rsid w:val="009B293B"/>
    <w:rsid w:val="009B29F8"/>
    <w:rsid w:val="009B3788"/>
    <w:rsid w:val="009B3A96"/>
    <w:rsid w:val="009B46FE"/>
    <w:rsid w:val="009B4C23"/>
    <w:rsid w:val="009B563F"/>
    <w:rsid w:val="009B566C"/>
    <w:rsid w:val="009B5876"/>
    <w:rsid w:val="009B5ECC"/>
    <w:rsid w:val="009B6145"/>
    <w:rsid w:val="009B6B1B"/>
    <w:rsid w:val="009B7778"/>
    <w:rsid w:val="009B7E14"/>
    <w:rsid w:val="009C0393"/>
    <w:rsid w:val="009C09C1"/>
    <w:rsid w:val="009C106A"/>
    <w:rsid w:val="009C12EA"/>
    <w:rsid w:val="009C17CD"/>
    <w:rsid w:val="009C1C49"/>
    <w:rsid w:val="009C249E"/>
    <w:rsid w:val="009C2910"/>
    <w:rsid w:val="009C2D64"/>
    <w:rsid w:val="009C2F08"/>
    <w:rsid w:val="009C2F34"/>
    <w:rsid w:val="009C32E3"/>
    <w:rsid w:val="009C3FDC"/>
    <w:rsid w:val="009C4AC7"/>
    <w:rsid w:val="009C4C20"/>
    <w:rsid w:val="009C5136"/>
    <w:rsid w:val="009C58EE"/>
    <w:rsid w:val="009C6132"/>
    <w:rsid w:val="009C6933"/>
    <w:rsid w:val="009C6CB7"/>
    <w:rsid w:val="009C6D52"/>
    <w:rsid w:val="009C7179"/>
    <w:rsid w:val="009C7565"/>
    <w:rsid w:val="009C7B28"/>
    <w:rsid w:val="009D04C5"/>
    <w:rsid w:val="009D0ABA"/>
    <w:rsid w:val="009D0FA4"/>
    <w:rsid w:val="009D12B5"/>
    <w:rsid w:val="009D1A14"/>
    <w:rsid w:val="009D220A"/>
    <w:rsid w:val="009D2511"/>
    <w:rsid w:val="009D3136"/>
    <w:rsid w:val="009D3B86"/>
    <w:rsid w:val="009D4429"/>
    <w:rsid w:val="009D49EA"/>
    <w:rsid w:val="009D4A6B"/>
    <w:rsid w:val="009D4D05"/>
    <w:rsid w:val="009D543B"/>
    <w:rsid w:val="009D5C43"/>
    <w:rsid w:val="009D66EF"/>
    <w:rsid w:val="009D6835"/>
    <w:rsid w:val="009D6841"/>
    <w:rsid w:val="009D6AF0"/>
    <w:rsid w:val="009D6E5F"/>
    <w:rsid w:val="009D6E9F"/>
    <w:rsid w:val="009D7372"/>
    <w:rsid w:val="009D7C1F"/>
    <w:rsid w:val="009D7FA5"/>
    <w:rsid w:val="009E0904"/>
    <w:rsid w:val="009E0F82"/>
    <w:rsid w:val="009E211F"/>
    <w:rsid w:val="009E237F"/>
    <w:rsid w:val="009E2471"/>
    <w:rsid w:val="009E2B55"/>
    <w:rsid w:val="009E318C"/>
    <w:rsid w:val="009E39DD"/>
    <w:rsid w:val="009E3C69"/>
    <w:rsid w:val="009E3C6C"/>
    <w:rsid w:val="009E4807"/>
    <w:rsid w:val="009E52D4"/>
    <w:rsid w:val="009E5B99"/>
    <w:rsid w:val="009E5E61"/>
    <w:rsid w:val="009E6859"/>
    <w:rsid w:val="009E6D83"/>
    <w:rsid w:val="009E6E80"/>
    <w:rsid w:val="009E7AE9"/>
    <w:rsid w:val="009E7C44"/>
    <w:rsid w:val="009E7CA9"/>
    <w:rsid w:val="009E7F54"/>
    <w:rsid w:val="009F13D3"/>
    <w:rsid w:val="009F2386"/>
    <w:rsid w:val="009F239D"/>
    <w:rsid w:val="009F2766"/>
    <w:rsid w:val="009F396F"/>
    <w:rsid w:val="009F3CAC"/>
    <w:rsid w:val="009F3CD1"/>
    <w:rsid w:val="009F4478"/>
    <w:rsid w:val="009F4749"/>
    <w:rsid w:val="009F4AC9"/>
    <w:rsid w:val="009F4B83"/>
    <w:rsid w:val="009F4C7C"/>
    <w:rsid w:val="009F513A"/>
    <w:rsid w:val="009F5588"/>
    <w:rsid w:val="009F58CD"/>
    <w:rsid w:val="009F62A3"/>
    <w:rsid w:val="009F656B"/>
    <w:rsid w:val="009F6B45"/>
    <w:rsid w:val="009F6DF0"/>
    <w:rsid w:val="009F7575"/>
    <w:rsid w:val="009F78E8"/>
    <w:rsid w:val="009F7B94"/>
    <w:rsid w:val="009F7CE7"/>
    <w:rsid w:val="00A001FC"/>
    <w:rsid w:val="00A0062D"/>
    <w:rsid w:val="00A0087B"/>
    <w:rsid w:val="00A00B92"/>
    <w:rsid w:val="00A00CAC"/>
    <w:rsid w:val="00A0196D"/>
    <w:rsid w:val="00A01C15"/>
    <w:rsid w:val="00A02513"/>
    <w:rsid w:val="00A02D90"/>
    <w:rsid w:val="00A02F71"/>
    <w:rsid w:val="00A032D9"/>
    <w:rsid w:val="00A03386"/>
    <w:rsid w:val="00A036FB"/>
    <w:rsid w:val="00A03DFC"/>
    <w:rsid w:val="00A04060"/>
    <w:rsid w:val="00A04283"/>
    <w:rsid w:val="00A043DF"/>
    <w:rsid w:val="00A0460E"/>
    <w:rsid w:val="00A052AE"/>
    <w:rsid w:val="00A05587"/>
    <w:rsid w:val="00A05B52"/>
    <w:rsid w:val="00A05FEF"/>
    <w:rsid w:val="00A060C8"/>
    <w:rsid w:val="00A061C2"/>
    <w:rsid w:val="00A0640D"/>
    <w:rsid w:val="00A067C3"/>
    <w:rsid w:val="00A06D24"/>
    <w:rsid w:val="00A07583"/>
    <w:rsid w:val="00A07D78"/>
    <w:rsid w:val="00A10A49"/>
    <w:rsid w:val="00A10D2D"/>
    <w:rsid w:val="00A10F6F"/>
    <w:rsid w:val="00A111A8"/>
    <w:rsid w:val="00A116FF"/>
    <w:rsid w:val="00A117F6"/>
    <w:rsid w:val="00A1226F"/>
    <w:rsid w:val="00A12860"/>
    <w:rsid w:val="00A12FB4"/>
    <w:rsid w:val="00A1495B"/>
    <w:rsid w:val="00A14A2E"/>
    <w:rsid w:val="00A14ECE"/>
    <w:rsid w:val="00A14FB1"/>
    <w:rsid w:val="00A14FD6"/>
    <w:rsid w:val="00A152E8"/>
    <w:rsid w:val="00A15334"/>
    <w:rsid w:val="00A171C0"/>
    <w:rsid w:val="00A17C86"/>
    <w:rsid w:val="00A17EE6"/>
    <w:rsid w:val="00A201D1"/>
    <w:rsid w:val="00A204EE"/>
    <w:rsid w:val="00A2061B"/>
    <w:rsid w:val="00A20E14"/>
    <w:rsid w:val="00A2182E"/>
    <w:rsid w:val="00A22705"/>
    <w:rsid w:val="00A22735"/>
    <w:rsid w:val="00A22AA8"/>
    <w:rsid w:val="00A22AA9"/>
    <w:rsid w:val="00A22DC1"/>
    <w:rsid w:val="00A23229"/>
    <w:rsid w:val="00A23ACB"/>
    <w:rsid w:val="00A240C7"/>
    <w:rsid w:val="00A248FD"/>
    <w:rsid w:val="00A24D6A"/>
    <w:rsid w:val="00A250E2"/>
    <w:rsid w:val="00A2516E"/>
    <w:rsid w:val="00A2699B"/>
    <w:rsid w:val="00A27331"/>
    <w:rsid w:val="00A27351"/>
    <w:rsid w:val="00A27736"/>
    <w:rsid w:val="00A2782B"/>
    <w:rsid w:val="00A27A09"/>
    <w:rsid w:val="00A27CFB"/>
    <w:rsid w:val="00A30B88"/>
    <w:rsid w:val="00A31092"/>
    <w:rsid w:val="00A318E3"/>
    <w:rsid w:val="00A319C9"/>
    <w:rsid w:val="00A31A2C"/>
    <w:rsid w:val="00A322EC"/>
    <w:rsid w:val="00A3285E"/>
    <w:rsid w:val="00A3337D"/>
    <w:rsid w:val="00A33897"/>
    <w:rsid w:val="00A3426E"/>
    <w:rsid w:val="00A345FF"/>
    <w:rsid w:val="00A34E92"/>
    <w:rsid w:val="00A358B9"/>
    <w:rsid w:val="00A35A04"/>
    <w:rsid w:val="00A35A77"/>
    <w:rsid w:val="00A35AE4"/>
    <w:rsid w:val="00A35E1C"/>
    <w:rsid w:val="00A36237"/>
    <w:rsid w:val="00A3672F"/>
    <w:rsid w:val="00A36BCC"/>
    <w:rsid w:val="00A370E2"/>
    <w:rsid w:val="00A37C0E"/>
    <w:rsid w:val="00A402A2"/>
    <w:rsid w:val="00A4041A"/>
    <w:rsid w:val="00A40529"/>
    <w:rsid w:val="00A4173C"/>
    <w:rsid w:val="00A41CBA"/>
    <w:rsid w:val="00A42A24"/>
    <w:rsid w:val="00A42EDE"/>
    <w:rsid w:val="00A44234"/>
    <w:rsid w:val="00A4596F"/>
    <w:rsid w:val="00A45B79"/>
    <w:rsid w:val="00A45E07"/>
    <w:rsid w:val="00A462E7"/>
    <w:rsid w:val="00A46C50"/>
    <w:rsid w:val="00A46FC3"/>
    <w:rsid w:val="00A47A75"/>
    <w:rsid w:val="00A47F33"/>
    <w:rsid w:val="00A50B4C"/>
    <w:rsid w:val="00A5112F"/>
    <w:rsid w:val="00A5142B"/>
    <w:rsid w:val="00A517DF"/>
    <w:rsid w:val="00A52B8E"/>
    <w:rsid w:val="00A532F9"/>
    <w:rsid w:val="00A53CFA"/>
    <w:rsid w:val="00A53D76"/>
    <w:rsid w:val="00A54A8F"/>
    <w:rsid w:val="00A55163"/>
    <w:rsid w:val="00A551BB"/>
    <w:rsid w:val="00A5533D"/>
    <w:rsid w:val="00A55A10"/>
    <w:rsid w:val="00A55D0C"/>
    <w:rsid w:val="00A56553"/>
    <w:rsid w:val="00A56902"/>
    <w:rsid w:val="00A56DD2"/>
    <w:rsid w:val="00A574D3"/>
    <w:rsid w:val="00A578A3"/>
    <w:rsid w:val="00A57CF8"/>
    <w:rsid w:val="00A60246"/>
    <w:rsid w:val="00A602C8"/>
    <w:rsid w:val="00A60C42"/>
    <w:rsid w:val="00A60E76"/>
    <w:rsid w:val="00A6296E"/>
    <w:rsid w:val="00A62A15"/>
    <w:rsid w:val="00A62A72"/>
    <w:rsid w:val="00A630BD"/>
    <w:rsid w:val="00A635A3"/>
    <w:rsid w:val="00A641C9"/>
    <w:rsid w:val="00A648C5"/>
    <w:rsid w:val="00A6495A"/>
    <w:rsid w:val="00A6542A"/>
    <w:rsid w:val="00A65676"/>
    <w:rsid w:val="00A65B12"/>
    <w:rsid w:val="00A65B83"/>
    <w:rsid w:val="00A66C07"/>
    <w:rsid w:val="00A67024"/>
    <w:rsid w:val="00A67D69"/>
    <w:rsid w:val="00A67EBD"/>
    <w:rsid w:val="00A7055A"/>
    <w:rsid w:val="00A7096D"/>
    <w:rsid w:val="00A70EB0"/>
    <w:rsid w:val="00A718B5"/>
    <w:rsid w:val="00A71910"/>
    <w:rsid w:val="00A71D41"/>
    <w:rsid w:val="00A72214"/>
    <w:rsid w:val="00A7240A"/>
    <w:rsid w:val="00A72756"/>
    <w:rsid w:val="00A729EC"/>
    <w:rsid w:val="00A7302D"/>
    <w:rsid w:val="00A73030"/>
    <w:rsid w:val="00A738E8"/>
    <w:rsid w:val="00A73A05"/>
    <w:rsid w:val="00A73AFE"/>
    <w:rsid w:val="00A73EC2"/>
    <w:rsid w:val="00A7485B"/>
    <w:rsid w:val="00A748CB"/>
    <w:rsid w:val="00A74C5C"/>
    <w:rsid w:val="00A75101"/>
    <w:rsid w:val="00A755BE"/>
    <w:rsid w:val="00A7683A"/>
    <w:rsid w:val="00A76ACA"/>
    <w:rsid w:val="00A76BD2"/>
    <w:rsid w:val="00A77795"/>
    <w:rsid w:val="00A80670"/>
    <w:rsid w:val="00A806D8"/>
    <w:rsid w:val="00A80C17"/>
    <w:rsid w:val="00A8123E"/>
    <w:rsid w:val="00A82244"/>
    <w:rsid w:val="00A83272"/>
    <w:rsid w:val="00A835BD"/>
    <w:rsid w:val="00A83782"/>
    <w:rsid w:val="00A83DBA"/>
    <w:rsid w:val="00A83F8C"/>
    <w:rsid w:val="00A853BB"/>
    <w:rsid w:val="00A85B20"/>
    <w:rsid w:val="00A85C2F"/>
    <w:rsid w:val="00A86065"/>
    <w:rsid w:val="00A86311"/>
    <w:rsid w:val="00A86868"/>
    <w:rsid w:val="00A86CD7"/>
    <w:rsid w:val="00A87345"/>
    <w:rsid w:val="00A8769C"/>
    <w:rsid w:val="00A87A49"/>
    <w:rsid w:val="00A87CA2"/>
    <w:rsid w:val="00A87F87"/>
    <w:rsid w:val="00A87FCC"/>
    <w:rsid w:val="00A904F3"/>
    <w:rsid w:val="00A9069B"/>
    <w:rsid w:val="00A90922"/>
    <w:rsid w:val="00A91D0A"/>
    <w:rsid w:val="00A91E6F"/>
    <w:rsid w:val="00A92E2E"/>
    <w:rsid w:val="00A93250"/>
    <w:rsid w:val="00A93A37"/>
    <w:rsid w:val="00A950E6"/>
    <w:rsid w:val="00A95A5D"/>
    <w:rsid w:val="00A95D5A"/>
    <w:rsid w:val="00A96152"/>
    <w:rsid w:val="00A96BDF"/>
    <w:rsid w:val="00A970D9"/>
    <w:rsid w:val="00A97322"/>
    <w:rsid w:val="00AA04B0"/>
    <w:rsid w:val="00AA0973"/>
    <w:rsid w:val="00AA0AD9"/>
    <w:rsid w:val="00AA0C5D"/>
    <w:rsid w:val="00AA0CA3"/>
    <w:rsid w:val="00AA1B1A"/>
    <w:rsid w:val="00AA26E2"/>
    <w:rsid w:val="00AA4084"/>
    <w:rsid w:val="00AA46CA"/>
    <w:rsid w:val="00AA4A42"/>
    <w:rsid w:val="00AA5C1D"/>
    <w:rsid w:val="00AA66F2"/>
    <w:rsid w:val="00AA6734"/>
    <w:rsid w:val="00AA716D"/>
    <w:rsid w:val="00AA7843"/>
    <w:rsid w:val="00AB0173"/>
    <w:rsid w:val="00AB01C5"/>
    <w:rsid w:val="00AB0480"/>
    <w:rsid w:val="00AB06AC"/>
    <w:rsid w:val="00AB0DE6"/>
    <w:rsid w:val="00AB2F1E"/>
    <w:rsid w:val="00AB3015"/>
    <w:rsid w:val="00AB32E9"/>
    <w:rsid w:val="00AB341D"/>
    <w:rsid w:val="00AB34E4"/>
    <w:rsid w:val="00AB4061"/>
    <w:rsid w:val="00AB40D1"/>
    <w:rsid w:val="00AB51F4"/>
    <w:rsid w:val="00AB5331"/>
    <w:rsid w:val="00AB53CA"/>
    <w:rsid w:val="00AB6692"/>
    <w:rsid w:val="00AB6833"/>
    <w:rsid w:val="00AB6E16"/>
    <w:rsid w:val="00AB6E9A"/>
    <w:rsid w:val="00AB734A"/>
    <w:rsid w:val="00AB7517"/>
    <w:rsid w:val="00AB77CA"/>
    <w:rsid w:val="00AB797B"/>
    <w:rsid w:val="00AB7A76"/>
    <w:rsid w:val="00AB7F0B"/>
    <w:rsid w:val="00AC0370"/>
    <w:rsid w:val="00AC097B"/>
    <w:rsid w:val="00AC12A2"/>
    <w:rsid w:val="00AC1554"/>
    <w:rsid w:val="00AC1BC7"/>
    <w:rsid w:val="00AC1C9F"/>
    <w:rsid w:val="00AC1E01"/>
    <w:rsid w:val="00AC2063"/>
    <w:rsid w:val="00AC264F"/>
    <w:rsid w:val="00AC31BC"/>
    <w:rsid w:val="00AC3896"/>
    <w:rsid w:val="00AC3F29"/>
    <w:rsid w:val="00AC47D7"/>
    <w:rsid w:val="00AC4CD2"/>
    <w:rsid w:val="00AC4D03"/>
    <w:rsid w:val="00AC6018"/>
    <w:rsid w:val="00AC7238"/>
    <w:rsid w:val="00AD0A3C"/>
    <w:rsid w:val="00AD1D0E"/>
    <w:rsid w:val="00AD2B46"/>
    <w:rsid w:val="00AD3043"/>
    <w:rsid w:val="00AD4282"/>
    <w:rsid w:val="00AD43B2"/>
    <w:rsid w:val="00AD4894"/>
    <w:rsid w:val="00AD4ADD"/>
    <w:rsid w:val="00AD526C"/>
    <w:rsid w:val="00AD57E5"/>
    <w:rsid w:val="00AD5DC0"/>
    <w:rsid w:val="00AD5EEA"/>
    <w:rsid w:val="00AD60C1"/>
    <w:rsid w:val="00AD651B"/>
    <w:rsid w:val="00AD75B7"/>
    <w:rsid w:val="00AD7CA9"/>
    <w:rsid w:val="00AD7E96"/>
    <w:rsid w:val="00AE018E"/>
    <w:rsid w:val="00AE0E0B"/>
    <w:rsid w:val="00AE13BF"/>
    <w:rsid w:val="00AE1FA8"/>
    <w:rsid w:val="00AE20A7"/>
    <w:rsid w:val="00AE2433"/>
    <w:rsid w:val="00AE2663"/>
    <w:rsid w:val="00AE2B78"/>
    <w:rsid w:val="00AE43B0"/>
    <w:rsid w:val="00AE5D89"/>
    <w:rsid w:val="00AE6003"/>
    <w:rsid w:val="00AE65D4"/>
    <w:rsid w:val="00AE7364"/>
    <w:rsid w:val="00AE745C"/>
    <w:rsid w:val="00AE7DE3"/>
    <w:rsid w:val="00AE7F2C"/>
    <w:rsid w:val="00AF054E"/>
    <w:rsid w:val="00AF067E"/>
    <w:rsid w:val="00AF190A"/>
    <w:rsid w:val="00AF1FE3"/>
    <w:rsid w:val="00AF255B"/>
    <w:rsid w:val="00AF2E05"/>
    <w:rsid w:val="00AF2F5E"/>
    <w:rsid w:val="00AF34AC"/>
    <w:rsid w:val="00AF4081"/>
    <w:rsid w:val="00AF49D2"/>
    <w:rsid w:val="00AF4A18"/>
    <w:rsid w:val="00AF4A25"/>
    <w:rsid w:val="00AF4B6B"/>
    <w:rsid w:val="00AF4C7C"/>
    <w:rsid w:val="00AF5052"/>
    <w:rsid w:val="00AF58C9"/>
    <w:rsid w:val="00AF5A09"/>
    <w:rsid w:val="00AF603E"/>
    <w:rsid w:val="00AF6075"/>
    <w:rsid w:val="00AF695E"/>
    <w:rsid w:val="00AF6B80"/>
    <w:rsid w:val="00AF7805"/>
    <w:rsid w:val="00AF7C37"/>
    <w:rsid w:val="00B007AF"/>
    <w:rsid w:val="00B00A06"/>
    <w:rsid w:val="00B00B79"/>
    <w:rsid w:val="00B0149B"/>
    <w:rsid w:val="00B01B71"/>
    <w:rsid w:val="00B01BE1"/>
    <w:rsid w:val="00B0256B"/>
    <w:rsid w:val="00B02B8A"/>
    <w:rsid w:val="00B03290"/>
    <w:rsid w:val="00B034D2"/>
    <w:rsid w:val="00B050AC"/>
    <w:rsid w:val="00B05E22"/>
    <w:rsid w:val="00B060BF"/>
    <w:rsid w:val="00B066BF"/>
    <w:rsid w:val="00B06717"/>
    <w:rsid w:val="00B06ECC"/>
    <w:rsid w:val="00B076F5"/>
    <w:rsid w:val="00B078DD"/>
    <w:rsid w:val="00B07916"/>
    <w:rsid w:val="00B07BEF"/>
    <w:rsid w:val="00B07EF7"/>
    <w:rsid w:val="00B1006E"/>
    <w:rsid w:val="00B10671"/>
    <w:rsid w:val="00B10AEB"/>
    <w:rsid w:val="00B10BED"/>
    <w:rsid w:val="00B10C0B"/>
    <w:rsid w:val="00B1131D"/>
    <w:rsid w:val="00B11420"/>
    <w:rsid w:val="00B11BFE"/>
    <w:rsid w:val="00B11C9D"/>
    <w:rsid w:val="00B11DD2"/>
    <w:rsid w:val="00B12049"/>
    <w:rsid w:val="00B12363"/>
    <w:rsid w:val="00B131D0"/>
    <w:rsid w:val="00B1331B"/>
    <w:rsid w:val="00B1460D"/>
    <w:rsid w:val="00B14717"/>
    <w:rsid w:val="00B151DD"/>
    <w:rsid w:val="00B15296"/>
    <w:rsid w:val="00B15C15"/>
    <w:rsid w:val="00B15CA7"/>
    <w:rsid w:val="00B1618C"/>
    <w:rsid w:val="00B16346"/>
    <w:rsid w:val="00B16527"/>
    <w:rsid w:val="00B1700D"/>
    <w:rsid w:val="00B177CF"/>
    <w:rsid w:val="00B20091"/>
    <w:rsid w:val="00B201DF"/>
    <w:rsid w:val="00B20C91"/>
    <w:rsid w:val="00B20E3D"/>
    <w:rsid w:val="00B21B68"/>
    <w:rsid w:val="00B21C4C"/>
    <w:rsid w:val="00B22D0B"/>
    <w:rsid w:val="00B2312F"/>
    <w:rsid w:val="00B23721"/>
    <w:rsid w:val="00B250F5"/>
    <w:rsid w:val="00B254E6"/>
    <w:rsid w:val="00B25BF1"/>
    <w:rsid w:val="00B25D33"/>
    <w:rsid w:val="00B25E6F"/>
    <w:rsid w:val="00B278FD"/>
    <w:rsid w:val="00B30AE9"/>
    <w:rsid w:val="00B311CA"/>
    <w:rsid w:val="00B3127D"/>
    <w:rsid w:val="00B31CB2"/>
    <w:rsid w:val="00B32631"/>
    <w:rsid w:val="00B336A2"/>
    <w:rsid w:val="00B337D2"/>
    <w:rsid w:val="00B344F0"/>
    <w:rsid w:val="00B34BAC"/>
    <w:rsid w:val="00B34DB7"/>
    <w:rsid w:val="00B35BCE"/>
    <w:rsid w:val="00B3623F"/>
    <w:rsid w:val="00B363B3"/>
    <w:rsid w:val="00B36400"/>
    <w:rsid w:val="00B37C45"/>
    <w:rsid w:val="00B404A9"/>
    <w:rsid w:val="00B41215"/>
    <w:rsid w:val="00B4169B"/>
    <w:rsid w:val="00B43248"/>
    <w:rsid w:val="00B45D2A"/>
    <w:rsid w:val="00B45F0C"/>
    <w:rsid w:val="00B465EB"/>
    <w:rsid w:val="00B468D4"/>
    <w:rsid w:val="00B46981"/>
    <w:rsid w:val="00B46A9A"/>
    <w:rsid w:val="00B47020"/>
    <w:rsid w:val="00B47E7D"/>
    <w:rsid w:val="00B502AA"/>
    <w:rsid w:val="00B5057C"/>
    <w:rsid w:val="00B50890"/>
    <w:rsid w:val="00B51639"/>
    <w:rsid w:val="00B5172C"/>
    <w:rsid w:val="00B51DDA"/>
    <w:rsid w:val="00B51E8E"/>
    <w:rsid w:val="00B51F0A"/>
    <w:rsid w:val="00B5211F"/>
    <w:rsid w:val="00B52BEB"/>
    <w:rsid w:val="00B52DB8"/>
    <w:rsid w:val="00B53D83"/>
    <w:rsid w:val="00B54707"/>
    <w:rsid w:val="00B54ED2"/>
    <w:rsid w:val="00B551A9"/>
    <w:rsid w:val="00B552A7"/>
    <w:rsid w:val="00B558F6"/>
    <w:rsid w:val="00B564D6"/>
    <w:rsid w:val="00B569B8"/>
    <w:rsid w:val="00B56F46"/>
    <w:rsid w:val="00B5750E"/>
    <w:rsid w:val="00B610A4"/>
    <w:rsid w:val="00B611B9"/>
    <w:rsid w:val="00B61334"/>
    <w:rsid w:val="00B626B9"/>
    <w:rsid w:val="00B62FFB"/>
    <w:rsid w:val="00B6333F"/>
    <w:rsid w:val="00B6363D"/>
    <w:rsid w:val="00B6403C"/>
    <w:rsid w:val="00B643EE"/>
    <w:rsid w:val="00B65380"/>
    <w:rsid w:val="00B66495"/>
    <w:rsid w:val="00B668FD"/>
    <w:rsid w:val="00B66C5A"/>
    <w:rsid w:val="00B66ECA"/>
    <w:rsid w:val="00B672BF"/>
    <w:rsid w:val="00B67D66"/>
    <w:rsid w:val="00B70ADD"/>
    <w:rsid w:val="00B71436"/>
    <w:rsid w:val="00B71849"/>
    <w:rsid w:val="00B72C15"/>
    <w:rsid w:val="00B72C7A"/>
    <w:rsid w:val="00B73909"/>
    <w:rsid w:val="00B73971"/>
    <w:rsid w:val="00B73D66"/>
    <w:rsid w:val="00B74B0C"/>
    <w:rsid w:val="00B750C9"/>
    <w:rsid w:val="00B75B67"/>
    <w:rsid w:val="00B76369"/>
    <w:rsid w:val="00B76392"/>
    <w:rsid w:val="00B763E5"/>
    <w:rsid w:val="00B76A5B"/>
    <w:rsid w:val="00B76F2E"/>
    <w:rsid w:val="00B76F73"/>
    <w:rsid w:val="00B7754B"/>
    <w:rsid w:val="00B807F0"/>
    <w:rsid w:val="00B81461"/>
    <w:rsid w:val="00B8160B"/>
    <w:rsid w:val="00B8176B"/>
    <w:rsid w:val="00B81A5B"/>
    <w:rsid w:val="00B82216"/>
    <w:rsid w:val="00B823AA"/>
    <w:rsid w:val="00B82489"/>
    <w:rsid w:val="00B827FF"/>
    <w:rsid w:val="00B829E3"/>
    <w:rsid w:val="00B82B21"/>
    <w:rsid w:val="00B82EE8"/>
    <w:rsid w:val="00B83A11"/>
    <w:rsid w:val="00B83A31"/>
    <w:rsid w:val="00B8402F"/>
    <w:rsid w:val="00B8454F"/>
    <w:rsid w:val="00B85337"/>
    <w:rsid w:val="00B854AC"/>
    <w:rsid w:val="00B85B21"/>
    <w:rsid w:val="00B85EC9"/>
    <w:rsid w:val="00B85F42"/>
    <w:rsid w:val="00B861A2"/>
    <w:rsid w:val="00B86353"/>
    <w:rsid w:val="00B866B0"/>
    <w:rsid w:val="00B8692F"/>
    <w:rsid w:val="00B869EE"/>
    <w:rsid w:val="00B87280"/>
    <w:rsid w:val="00B87C7A"/>
    <w:rsid w:val="00B90171"/>
    <w:rsid w:val="00B90220"/>
    <w:rsid w:val="00B909CD"/>
    <w:rsid w:val="00B91656"/>
    <w:rsid w:val="00B91D20"/>
    <w:rsid w:val="00B91ECF"/>
    <w:rsid w:val="00B92408"/>
    <w:rsid w:val="00B9279B"/>
    <w:rsid w:val="00B928BD"/>
    <w:rsid w:val="00B929E6"/>
    <w:rsid w:val="00B92F36"/>
    <w:rsid w:val="00B93F42"/>
    <w:rsid w:val="00B94FE9"/>
    <w:rsid w:val="00B94FF3"/>
    <w:rsid w:val="00B95078"/>
    <w:rsid w:val="00B95215"/>
    <w:rsid w:val="00B95C2E"/>
    <w:rsid w:val="00B95C32"/>
    <w:rsid w:val="00B95D15"/>
    <w:rsid w:val="00B96102"/>
    <w:rsid w:val="00B961D5"/>
    <w:rsid w:val="00B96210"/>
    <w:rsid w:val="00B96E7D"/>
    <w:rsid w:val="00B96F36"/>
    <w:rsid w:val="00B97106"/>
    <w:rsid w:val="00B975EA"/>
    <w:rsid w:val="00B979FF"/>
    <w:rsid w:val="00B97C2C"/>
    <w:rsid w:val="00B97C7E"/>
    <w:rsid w:val="00BA01F3"/>
    <w:rsid w:val="00BA0432"/>
    <w:rsid w:val="00BA065D"/>
    <w:rsid w:val="00BA117B"/>
    <w:rsid w:val="00BA1365"/>
    <w:rsid w:val="00BA20DB"/>
    <w:rsid w:val="00BA2D08"/>
    <w:rsid w:val="00BA30C1"/>
    <w:rsid w:val="00BA36BB"/>
    <w:rsid w:val="00BA47C6"/>
    <w:rsid w:val="00BA6274"/>
    <w:rsid w:val="00BA6759"/>
    <w:rsid w:val="00BA6A30"/>
    <w:rsid w:val="00BA6B45"/>
    <w:rsid w:val="00BA716C"/>
    <w:rsid w:val="00BA7673"/>
    <w:rsid w:val="00BA7AF7"/>
    <w:rsid w:val="00BA7E02"/>
    <w:rsid w:val="00BA7E12"/>
    <w:rsid w:val="00BB0493"/>
    <w:rsid w:val="00BB078D"/>
    <w:rsid w:val="00BB0973"/>
    <w:rsid w:val="00BB120C"/>
    <w:rsid w:val="00BB13BC"/>
    <w:rsid w:val="00BB1901"/>
    <w:rsid w:val="00BB1D37"/>
    <w:rsid w:val="00BB1FD6"/>
    <w:rsid w:val="00BB21C2"/>
    <w:rsid w:val="00BB2351"/>
    <w:rsid w:val="00BB26B9"/>
    <w:rsid w:val="00BB4AF2"/>
    <w:rsid w:val="00BB4B0F"/>
    <w:rsid w:val="00BB5058"/>
    <w:rsid w:val="00BB50A2"/>
    <w:rsid w:val="00BB5110"/>
    <w:rsid w:val="00BB5605"/>
    <w:rsid w:val="00BB639E"/>
    <w:rsid w:val="00BB7117"/>
    <w:rsid w:val="00BB7184"/>
    <w:rsid w:val="00BB75B2"/>
    <w:rsid w:val="00BB7A6A"/>
    <w:rsid w:val="00BC04B8"/>
    <w:rsid w:val="00BC075A"/>
    <w:rsid w:val="00BC0B5F"/>
    <w:rsid w:val="00BC0F3C"/>
    <w:rsid w:val="00BC1558"/>
    <w:rsid w:val="00BC407E"/>
    <w:rsid w:val="00BC563D"/>
    <w:rsid w:val="00BC59B2"/>
    <w:rsid w:val="00BC5D2B"/>
    <w:rsid w:val="00BC64D8"/>
    <w:rsid w:val="00BC68CC"/>
    <w:rsid w:val="00BC7564"/>
    <w:rsid w:val="00BC75B6"/>
    <w:rsid w:val="00BC7C0E"/>
    <w:rsid w:val="00BC7C6E"/>
    <w:rsid w:val="00BD120D"/>
    <w:rsid w:val="00BD141E"/>
    <w:rsid w:val="00BD14D3"/>
    <w:rsid w:val="00BD2023"/>
    <w:rsid w:val="00BD2B7E"/>
    <w:rsid w:val="00BD3028"/>
    <w:rsid w:val="00BD4442"/>
    <w:rsid w:val="00BD4E95"/>
    <w:rsid w:val="00BD503F"/>
    <w:rsid w:val="00BD58F2"/>
    <w:rsid w:val="00BD5C5E"/>
    <w:rsid w:val="00BD5DF7"/>
    <w:rsid w:val="00BD6405"/>
    <w:rsid w:val="00BD6698"/>
    <w:rsid w:val="00BD7872"/>
    <w:rsid w:val="00BD7BFB"/>
    <w:rsid w:val="00BE005C"/>
    <w:rsid w:val="00BE0193"/>
    <w:rsid w:val="00BE086E"/>
    <w:rsid w:val="00BE0A29"/>
    <w:rsid w:val="00BE0AB2"/>
    <w:rsid w:val="00BE0DA8"/>
    <w:rsid w:val="00BE2843"/>
    <w:rsid w:val="00BE293B"/>
    <w:rsid w:val="00BE32C6"/>
    <w:rsid w:val="00BE331E"/>
    <w:rsid w:val="00BE3750"/>
    <w:rsid w:val="00BE3F10"/>
    <w:rsid w:val="00BE5D77"/>
    <w:rsid w:val="00BE5F5D"/>
    <w:rsid w:val="00BE5F8D"/>
    <w:rsid w:val="00BE7259"/>
    <w:rsid w:val="00BE7F4F"/>
    <w:rsid w:val="00BF010E"/>
    <w:rsid w:val="00BF0210"/>
    <w:rsid w:val="00BF07D5"/>
    <w:rsid w:val="00BF13C7"/>
    <w:rsid w:val="00BF1608"/>
    <w:rsid w:val="00BF1C31"/>
    <w:rsid w:val="00BF22E9"/>
    <w:rsid w:val="00BF268E"/>
    <w:rsid w:val="00BF32C4"/>
    <w:rsid w:val="00BF353C"/>
    <w:rsid w:val="00BF38B6"/>
    <w:rsid w:val="00BF40E4"/>
    <w:rsid w:val="00BF413F"/>
    <w:rsid w:val="00BF4C7F"/>
    <w:rsid w:val="00BF4E60"/>
    <w:rsid w:val="00BF547B"/>
    <w:rsid w:val="00BF680C"/>
    <w:rsid w:val="00BF7053"/>
    <w:rsid w:val="00BF7089"/>
    <w:rsid w:val="00BF786A"/>
    <w:rsid w:val="00C00D86"/>
    <w:rsid w:val="00C01CD3"/>
    <w:rsid w:val="00C02198"/>
    <w:rsid w:val="00C02587"/>
    <w:rsid w:val="00C02E59"/>
    <w:rsid w:val="00C02EAE"/>
    <w:rsid w:val="00C02FE9"/>
    <w:rsid w:val="00C03AED"/>
    <w:rsid w:val="00C0429F"/>
    <w:rsid w:val="00C0493F"/>
    <w:rsid w:val="00C05176"/>
    <w:rsid w:val="00C05262"/>
    <w:rsid w:val="00C0545F"/>
    <w:rsid w:val="00C06234"/>
    <w:rsid w:val="00C06247"/>
    <w:rsid w:val="00C06490"/>
    <w:rsid w:val="00C065AA"/>
    <w:rsid w:val="00C07047"/>
    <w:rsid w:val="00C07D84"/>
    <w:rsid w:val="00C07FD7"/>
    <w:rsid w:val="00C10302"/>
    <w:rsid w:val="00C104AC"/>
    <w:rsid w:val="00C106B9"/>
    <w:rsid w:val="00C11055"/>
    <w:rsid w:val="00C11273"/>
    <w:rsid w:val="00C11964"/>
    <w:rsid w:val="00C11BDC"/>
    <w:rsid w:val="00C11EE5"/>
    <w:rsid w:val="00C125BD"/>
    <w:rsid w:val="00C137B4"/>
    <w:rsid w:val="00C1398D"/>
    <w:rsid w:val="00C13D61"/>
    <w:rsid w:val="00C1450C"/>
    <w:rsid w:val="00C150C5"/>
    <w:rsid w:val="00C15BD4"/>
    <w:rsid w:val="00C15DA9"/>
    <w:rsid w:val="00C1676A"/>
    <w:rsid w:val="00C167AC"/>
    <w:rsid w:val="00C16BC5"/>
    <w:rsid w:val="00C17D83"/>
    <w:rsid w:val="00C17F73"/>
    <w:rsid w:val="00C20085"/>
    <w:rsid w:val="00C20BBD"/>
    <w:rsid w:val="00C2163C"/>
    <w:rsid w:val="00C21A1E"/>
    <w:rsid w:val="00C21CDB"/>
    <w:rsid w:val="00C227AC"/>
    <w:rsid w:val="00C22DBD"/>
    <w:rsid w:val="00C22E91"/>
    <w:rsid w:val="00C22FF8"/>
    <w:rsid w:val="00C2336B"/>
    <w:rsid w:val="00C23498"/>
    <w:rsid w:val="00C252DB"/>
    <w:rsid w:val="00C253E7"/>
    <w:rsid w:val="00C2553D"/>
    <w:rsid w:val="00C25A50"/>
    <w:rsid w:val="00C25E58"/>
    <w:rsid w:val="00C263F6"/>
    <w:rsid w:val="00C26923"/>
    <w:rsid w:val="00C26AC1"/>
    <w:rsid w:val="00C27294"/>
    <w:rsid w:val="00C2761F"/>
    <w:rsid w:val="00C2773B"/>
    <w:rsid w:val="00C30219"/>
    <w:rsid w:val="00C3198A"/>
    <w:rsid w:val="00C31BCE"/>
    <w:rsid w:val="00C32113"/>
    <w:rsid w:val="00C32828"/>
    <w:rsid w:val="00C32A91"/>
    <w:rsid w:val="00C32AE6"/>
    <w:rsid w:val="00C32E0D"/>
    <w:rsid w:val="00C33E61"/>
    <w:rsid w:val="00C3423A"/>
    <w:rsid w:val="00C34372"/>
    <w:rsid w:val="00C352CD"/>
    <w:rsid w:val="00C35308"/>
    <w:rsid w:val="00C3568A"/>
    <w:rsid w:val="00C356F8"/>
    <w:rsid w:val="00C35887"/>
    <w:rsid w:val="00C35B50"/>
    <w:rsid w:val="00C35D27"/>
    <w:rsid w:val="00C3607A"/>
    <w:rsid w:val="00C36080"/>
    <w:rsid w:val="00C3620A"/>
    <w:rsid w:val="00C362FB"/>
    <w:rsid w:val="00C367DA"/>
    <w:rsid w:val="00C370A1"/>
    <w:rsid w:val="00C37535"/>
    <w:rsid w:val="00C379D7"/>
    <w:rsid w:val="00C37F33"/>
    <w:rsid w:val="00C37F60"/>
    <w:rsid w:val="00C407D1"/>
    <w:rsid w:val="00C40C40"/>
    <w:rsid w:val="00C40D5A"/>
    <w:rsid w:val="00C411CF"/>
    <w:rsid w:val="00C412B5"/>
    <w:rsid w:val="00C41716"/>
    <w:rsid w:val="00C41A83"/>
    <w:rsid w:val="00C41EF2"/>
    <w:rsid w:val="00C41F73"/>
    <w:rsid w:val="00C4241B"/>
    <w:rsid w:val="00C42A1A"/>
    <w:rsid w:val="00C42D02"/>
    <w:rsid w:val="00C42E25"/>
    <w:rsid w:val="00C42E9E"/>
    <w:rsid w:val="00C437E0"/>
    <w:rsid w:val="00C43DF5"/>
    <w:rsid w:val="00C44344"/>
    <w:rsid w:val="00C44C62"/>
    <w:rsid w:val="00C451CD"/>
    <w:rsid w:val="00C45F92"/>
    <w:rsid w:val="00C4671F"/>
    <w:rsid w:val="00C468B5"/>
    <w:rsid w:val="00C468EC"/>
    <w:rsid w:val="00C47663"/>
    <w:rsid w:val="00C47C57"/>
    <w:rsid w:val="00C47D1D"/>
    <w:rsid w:val="00C512D6"/>
    <w:rsid w:val="00C5146B"/>
    <w:rsid w:val="00C52375"/>
    <w:rsid w:val="00C52CE5"/>
    <w:rsid w:val="00C5379C"/>
    <w:rsid w:val="00C53974"/>
    <w:rsid w:val="00C53D09"/>
    <w:rsid w:val="00C5429D"/>
    <w:rsid w:val="00C54467"/>
    <w:rsid w:val="00C54F74"/>
    <w:rsid w:val="00C55D6B"/>
    <w:rsid w:val="00C56364"/>
    <w:rsid w:val="00C56DC8"/>
    <w:rsid w:val="00C56F9F"/>
    <w:rsid w:val="00C57786"/>
    <w:rsid w:val="00C57857"/>
    <w:rsid w:val="00C57F5C"/>
    <w:rsid w:val="00C60742"/>
    <w:rsid w:val="00C60E79"/>
    <w:rsid w:val="00C62294"/>
    <w:rsid w:val="00C624C8"/>
    <w:rsid w:val="00C634BD"/>
    <w:rsid w:val="00C635E1"/>
    <w:rsid w:val="00C63AA9"/>
    <w:rsid w:val="00C6404F"/>
    <w:rsid w:val="00C64519"/>
    <w:rsid w:val="00C646F3"/>
    <w:rsid w:val="00C64F09"/>
    <w:rsid w:val="00C64F0A"/>
    <w:rsid w:val="00C65E97"/>
    <w:rsid w:val="00C66552"/>
    <w:rsid w:val="00C66612"/>
    <w:rsid w:val="00C66B37"/>
    <w:rsid w:val="00C6758B"/>
    <w:rsid w:val="00C6793B"/>
    <w:rsid w:val="00C70360"/>
    <w:rsid w:val="00C705AD"/>
    <w:rsid w:val="00C70D07"/>
    <w:rsid w:val="00C70DA4"/>
    <w:rsid w:val="00C71038"/>
    <w:rsid w:val="00C71DDF"/>
    <w:rsid w:val="00C72912"/>
    <w:rsid w:val="00C72B0D"/>
    <w:rsid w:val="00C737FE"/>
    <w:rsid w:val="00C73950"/>
    <w:rsid w:val="00C745BF"/>
    <w:rsid w:val="00C74874"/>
    <w:rsid w:val="00C75164"/>
    <w:rsid w:val="00C75A21"/>
    <w:rsid w:val="00C760E8"/>
    <w:rsid w:val="00C76169"/>
    <w:rsid w:val="00C7660A"/>
    <w:rsid w:val="00C7725B"/>
    <w:rsid w:val="00C77330"/>
    <w:rsid w:val="00C80E69"/>
    <w:rsid w:val="00C81301"/>
    <w:rsid w:val="00C81ACA"/>
    <w:rsid w:val="00C82C6D"/>
    <w:rsid w:val="00C82F44"/>
    <w:rsid w:val="00C843B1"/>
    <w:rsid w:val="00C849CD"/>
    <w:rsid w:val="00C84B7B"/>
    <w:rsid w:val="00C84EFD"/>
    <w:rsid w:val="00C85289"/>
    <w:rsid w:val="00C85499"/>
    <w:rsid w:val="00C85AD2"/>
    <w:rsid w:val="00C85E97"/>
    <w:rsid w:val="00C866E5"/>
    <w:rsid w:val="00C86A6C"/>
    <w:rsid w:val="00C87610"/>
    <w:rsid w:val="00C876DA"/>
    <w:rsid w:val="00C91017"/>
    <w:rsid w:val="00C914E6"/>
    <w:rsid w:val="00C9198A"/>
    <w:rsid w:val="00C91A39"/>
    <w:rsid w:val="00C92430"/>
    <w:rsid w:val="00C92B0B"/>
    <w:rsid w:val="00C93367"/>
    <w:rsid w:val="00C93A62"/>
    <w:rsid w:val="00C93E57"/>
    <w:rsid w:val="00C94773"/>
    <w:rsid w:val="00C94FF8"/>
    <w:rsid w:val="00C95CE6"/>
    <w:rsid w:val="00C95F50"/>
    <w:rsid w:val="00C9601B"/>
    <w:rsid w:val="00C962EA"/>
    <w:rsid w:val="00C96962"/>
    <w:rsid w:val="00C969EE"/>
    <w:rsid w:val="00C96C49"/>
    <w:rsid w:val="00C97969"/>
    <w:rsid w:val="00C97A5B"/>
    <w:rsid w:val="00C97C81"/>
    <w:rsid w:val="00C97DF3"/>
    <w:rsid w:val="00CA00B8"/>
    <w:rsid w:val="00CA0E56"/>
    <w:rsid w:val="00CA149A"/>
    <w:rsid w:val="00CA1A04"/>
    <w:rsid w:val="00CA3613"/>
    <w:rsid w:val="00CA3622"/>
    <w:rsid w:val="00CA4521"/>
    <w:rsid w:val="00CA45D7"/>
    <w:rsid w:val="00CA4623"/>
    <w:rsid w:val="00CA554B"/>
    <w:rsid w:val="00CA60B2"/>
    <w:rsid w:val="00CA60B7"/>
    <w:rsid w:val="00CA6BCD"/>
    <w:rsid w:val="00CA6E44"/>
    <w:rsid w:val="00CA7630"/>
    <w:rsid w:val="00CA78D6"/>
    <w:rsid w:val="00CA7E04"/>
    <w:rsid w:val="00CB1825"/>
    <w:rsid w:val="00CB1F86"/>
    <w:rsid w:val="00CB3368"/>
    <w:rsid w:val="00CB350A"/>
    <w:rsid w:val="00CB42EB"/>
    <w:rsid w:val="00CB4CDC"/>
    <w:rsid w:val="00CB4FE7"/>
    <w:rsid w:val="00CB61C6"/>
    <w:rsid w:val="00CB6F25"/>
    <w:rsid w:val="00CB6FC8"/>
    <w:rsid w:val="00CB76D0"/>
    <w:rsid w:val="00CB7F6F"/>
    <w:rsid w:val="00CC03DA"/>
    <w:rsid w:val="00CC143D"/>
    <w:rsid w:val="00CC2EC1"/>
    <w:rsid w:val="00CC3083"/>
    <w:rsid w:val="00CC343E"/>
    <w:rsid w:val="00CC3453"/>
    <w:rsid w:val="00CC3B05"/>
    <w:rsid w:val="00CC3BAB"/>
    <w:rsid w:val="00CC3ECA"/>
    <w:rsid w:val="00CC4843"/>
    <w:rsid w:val="00CC530E"/>
    <w:rsid w:val="00CC642A"/>
    <w:rsid w:val="00CC7F53"/>
    <w:rsid w:val="00CD0015"/>
    <w:rsid w:val="00CD0049"/>
    <w:rsid w:val="00CD052F"/>
    <w:rsid w:val="00CD0BBF"/>
    <w:rsid w:val="00CD0C29"/>
    <w:rsid w:val="00CD109F"/>
    <w:rsid w:val="00CD2402"/>
    <w:rsid w:val="00CD2AB1"/>
    <w:rsid w:val="00CD325A"/>
    <w:rsid w:val="00CD415D"/>
    <w:rsid w:val="00CD4BB2"/>
    <w:rsid w:val="00CD54FC"/>
    <w:rsid w:val="00CD6F11"/>
    <w:rsid w:val="00CD7BE5"/>
    <w:rsid w:val="00CE006F"/>
    <w:rsid w:val="00CE05CA"/>
    <w:rsid w:val="00CE1057"/>
    <w:rsid w:val="00CE1B71"/>
    <w:rsid w:val="00CE21FB"/>
    <w:rsid w:val="00CE226C"/>
    <w:rsid w:val="00CE25D3"/>
    <w:rsid w:val="00CE2878"/>
    <w:rsid w:val="00CE382C"/>
    <w:rsid w:val="00CE47DB"/>
    <w:rsid w:val="00CE5291"/>
    <w:rsid w:val="00CE5A11"/>
    <w:rsid w:val="00CE6066"/>
    <w:rsid w:val="00CE6801"/>
    <w:rsid w:val="00CE6A17"/>
    <w:rsid w:val="00CE6A67"/>
    <w:rsid w:val="00CE6F75"/>
    <w:rsid w:val="00CE7526"/>
    <w:rsid w:val="00CE76F7"/>
    <w:rsid w:val="00CE78E5"/>
    <w:rsid w:val="00CE7C5F"/>
    <w:rsid w:val="00CF0480"/>
    <w:rsid w:val="00CF1671"/>
    <w:rsid w:val="00CF18BB"/>
    <w:rsid w:val="00CF2385"/>
    <w:rsid w:val="00CF26E7"/>
    <w:rsid w:val="00CF2711"/>
    <w:rsid w:val="00CF33F5"/>
    <w:rsid w:val="00CF4696"/>
    <w:rsid w:val="00CF484B"/>
    <w:rsid w:val="00CF4C9D"/>
    <w:rsid w:val="00CF5D25"/>
    <w:rsid w:val="00CF623A"/>
    <w:rsid w:val="00CF62C1"/>
    <w:rsid w:val="00CF7F7B"/>
    <w:rsid w:val="00D00049"/>
    <w:rsid w:val="00D0005A"/>
    <w:rsid w:val="00D003F3"/>
    <w:rsid w:val="00D00712"/>
    <w:rsid w:val="00D00A20"/>
    <w:rsid w:val="00D0107A"/>
    <w:rsid w:val="00D01A7A"/>
    <w:rsid w:val="00D01CB4"/>
    <w:rsid w:val="00D024C7"/>
    <w:rsid w:val="00D02584"/>
    <w:rsid w:val="00D025F5"/>
    <w:rsid w:val="00D0339B"/>
    <w:rsid w:val="00D038DF"/>
    <w:rsid w:val="00D038FC"/>
    <w:rsid w:val="00D03C11"/>
    <w:rsid w:val="00D03D22"/>
    <w:rsid w:val="00D04F19"/>
    <w:rsid w:val="00D05753"/>
    <w:rsid w:val="00D06755"/>
    <w:rsid w:val="00D07D69"/>
    <w:rsid w:val="00D07F86"/>
    <w:rsid w:val="00D10976"/>
    <w:rsid w:val="00D11288"/>
    <w:rsid w:val="00D1165E"/>
    <w:rsid w:val="00D12122"/>
    <w:rsid w:val="00D12831"/>
    <w:rsid w:val="00D14D47"/>
    <w:rsid w:val="00D1563D"/>
    <w:rsid w:val="00D16273"/>
    <w:rsid w:val="00D16528"/>
    <w:rsid w:val="00D16B48"/>
    <w:rsid w:val="00D16D53"/>
    <w:rsid w:val="00D17449"/>
    <w:rsid w:val="00D206BC"/>
    <w:rsid w:val="00D20CAF"/>
    <w:rsid w:val="00D21903"/>
    <w:rsid w:val="00D21D11"/>
    <w:rsid w:val="00D22351"/>
    <w:rsid w:val="00D22361"/>
    <w:rsid w:val="00D22C37"/>
    <w:rsid w:val="00D232C4"/>
    <w:rsid w:val="00D23C49"/>
    <w:rsid w:val="00D23E3B"/>
    <w:rsid w:val="00D247CC"/>
    <w:rsid w:val="00D25409"/>
    <w:rsid w:val="00D25A4C"/>
    <w:rsid w:val="00D25DCF"/>
    <w:rsid w:val="00D26241"/>
    <w:rsid w:val="00D267C1"/>
    <w:rsid w:val="00D27327"/>
    <w:rsid w:val="00D2791C"/>
    <w:rsid w:val="00D27CC2"/>
    <w:rsid w:val="00D31F2A"/>
    <w:rsid w:val="00D32BAC"/>
    <w:rsid w:val="00D33F00"/>
    <w:rsid w:val="00D34865"/>
    <w:rsid w:val="00D34874"/>
    <w:rsid w:val="00D34ABD"/>
    <w:rsid w:val="00D34B2E"/>
    <w:rsid w:val="00D3505D"/>
    <w:rsid w:val="00D366AF"/>
    <w:rsid w:val="00D36E44"/>
    <w:rsid w:val="00D37730"/>
    <w:rsid w:val="00D400AF"/>
    <w:rsid w:val="00D40665"/>
    <w:rsid w:val="00D407EF"/>
    <w:rsid w:val="00D40C39"/>
    <w:rsid w:val="00D40FA0"/>
    <w:rsid w:val="00D414A1"/>
    <w:rsid w:val="00D42169"/>
    <w:rsid w:val="00D423FE"/>
    <w:rsid w:val="00D42F01"/>
    <w:rsid w:val="00D43E1D"/>
    <w:rsid w:val="00D444DE"/>
    <w:rsid w:val="00D44558"/>
    <w:rsid w:val="00D4456E"/>
    <w:rsid w:val="00D45060"/>
    <w:rsid w:val="00D45167"/>
    <w:rsid w:val="00D45396"/>
    <w:rsid w:val="00D45835"/>
    <w:rsid w:val="00D45B61"/>
    <w:rsid w:val="00D462EE"/>
    <w:rsid w:val="00D465EB"/>
    <w:rsid w:val="00D46909"/>
    <w:rsid w:val="00D47836"/>
    <w:rsid w:val="00D47C3C"/>
    <w:rsid w:val="00D50523"/>
    <w:rsid w:val="00D5070E"/>
    <w:rsid w:val="00D50849"/>
    <w:rsid w:val="00D50A42"/>
    <w:rsid w:val="00D51006"/>
    <w:rsid w:val="00D51D5E"/>
    <w:rsid w:val="00D51E36"/>
    <w:rsid w:val="00D51FE7"/>
    <w:rsid w:val="00D529B0"/>
    <w:rsid w:val="00D530AB"/>
    <w:rsid w:val="00D537B9"/>
    <w:rsid w:val="00D538F3"/>
    <w:rsid w:val="00D53FF0"/>
    <w:rsid w:val="00D54F0C"/>
    <w:rsid w:val="00D5514A"/>
    <w:rsid w:val="00D560C1"/>
    <w:rsid w:val="00D56156"/>
    <w:rsid w:val="00D56B49"/>
    <w:rsid w:val="00D57BFC"/>
    <w:rsid w:val="00D57CE3"/>
    <w:rsid w:val="00D60279"/>
    <w:rsid w:val="00D60287"/>
    <w:rsid w:val="00D613A6"/>
    <w:rsid w:val="00D6174C"/>
    <w:rsid w:val="00D61ED0"/>
    <w:rsid w:val="00D621D7"/>
    <w:rsid w:val="00D62530"/>
    <w:rsid w:val="00D62B6B"/>
    <w:rsid w:val="00D640D9"/>
    <w:rsid w:val="00D648E8"/>
    <w:rsid w:val="00D649C8"/>
    <w:rsid w:val="00D649CE"/>
    <w:rsid w:val="00D64D0F"/>
    <w:rsid w:val="00D65325"/>
    <w:rsid w:val="00D65BA3"/>
    <w:rsid w:val="00D65CBC"/>
    <w:rsid w:val="00D65EC6"/>
    <w:rsid w:val="00D66087"/>
    <w:rsid w:val="00D66199"/>
    <w:rsid w:val="00D6651E"/>
    <w:rsid w:val="00D665BC"/>
    <w:rsid w:val="00D667DF"/>
    <w:rsid w:val="00D6793A"/>
    <w:rsid w:val="00D67BD5"/>
    <w:rsid w:val="00D70476"/>
    <w:rsid w:val="00D70D4B"/>
    <w:rsid w:val="00D719C6"/>
    <w:rsid w:val="00D71CC5"/>
    <w:rsid w:val="00D72C52"/>
    <w:rsid w:val="00D731BA"/>
    <w:rsid w:val="00D73BEB"/>
    <w:rsid w:val="00D744F3"/>
    <w:rsid w:val="00D7458E"/>
    <w:rsid w:val="00D75CAE"/>
    <w:rsid w:val="00D761B7"/>
    <w:rsid w:val="00D7741B"/>
    <w:rsid w:val="00D77BA4"/>
    <w:rsid w:val="00D80525"/>
    <w:rsid w:val="00D80596"/>
    <w:rsid w:val="00D80988"/>
    <w:rsid w:val="00D81D27"/>
    <w:rsid w:val="00D81E00"/>
    <w:rsid w:val="00D81E81"/>
    <w:rsid w:val="00D8299B"/>
    <w:rsid w:val="00D82A0B"/>
    <w:rsid w:val="00D82B67"/>
    <w:rsid w:val="00D82ED2"/>
    <w:rsid w:val="00D838AD"/>
    <w:rsid w:val="00D8437B"/>
    <w:rsid w:val="00D84BA1"/>
    <w:rsid w:val="00D84BD0"/>
    <w:rsid w:val="00D85011"/>
    <w:rsid w:val="00D854E6"/>
    <w:rsid w:val="00D855D7"/>
    <w:rsid w:val="00D85F66"/>
    <w:rsid w:val="00D85FCC"/>
    <w:rsid w:val="00D860FF"/>
    <w:rsid w:val="00D86339"/>
    <w:rsid w:val="00D86B9C"/>
    <w:rsid w:val="00D90302"/>
    <w:rsid w:val="00D91554"/>
    <w:rsid w:val="00D917C6"/>
    <w:rsid w:val="00D92990"/>
    <w:rsid w:val="00D93137"/>
    <w:rsid w:val="00D932B7"/>
    <w:rsid w:val="00D934AF"/>
    <w:rsid w:val="00D93659"/>
    <w:rsid w:val="00D9368F"/>
    <w:rsid w:val="00D94574"/>
    <w:rsid w:val="00D94589"/>
    <w:rsid w:val="00D960CE"/>
    <w:rsid w:val="00D96B21"/>
    <w:rsid w:val="00D96B9B"/>
    <w:rsid w:val="00D96DAB"/>
    <w:rsid w:val="00D973E0"/>
    <w:rsid w:val="00D9745B"/>
    <w:rsid w:val="00D97753"/>
    <w:rsid w:val="00D97853"/>
    <w:rsid w:val="00D97A0E"/>
    <w:rsid w:val="00D97B91"/>
    <w:rsid w:val="00DA015C"/>
    <w:rsid w:val="00DA09A8"/>
    <w:rsid w:val="00DA0B59"/>
    <w:rsid w:val="00DA109A"/>
    <w:rsid w:val="00DA18B3"/>
    <w:rsid w:val="00DA1D60"/>
    <w:rsid w:val="00DA224D"/>
    <w:rsid w:val="00DA3F75"/>
    <w:rsid w:val="00DA4048"/>
    <w:rsid w:val="00DA4321"/>
    <w:rsid w:val="00DA43F0"/>
    <w:rsid w:val="00DA4462"/>
    <w:rsid w:val="00DA45B5"/>
    <w:rsid w:val="00DA4B0D"/>
    <w:rsid w:val="00DA5892"/>
    <w:rsid w:val="00DA5E6C"/>
    <w:rsid w:val="00DA6813"/>
    <w:rsid w:val="00DA6A59"/>
    <w:rsid w:val="00DA70B4"/>
    <w:rsid w:val="00DA7206"/>
    <w:rsid w:val="00DA7DBB"/>
    <w:rsid w:val="00DB05B1"/>
    <w:rsid w:val="00DB0743"/>
    <w:rsid w:val="00DB0955"/>
    <w:rsid w:val="00DB0B15"/>
    <w:rsid w:val="00DB1231"/>
    <w:rsid w:val="00DB1352"/>
    <w:rsid w:val="00DB21D4"/>
    <w:rsid w:val="00DB24B3"/>
    <w:rsid w:val="00DB2549"/>
    <w:rsid w:val="00DB2BB6"/>
    <w:rsid w:val="00DB2FAE"/>
    <w:rsid w:val="00DB3571"/>
    <w:rsid w:val="00DB3D61"/>
    <w:rsid w:val="00DB4D37"/>
    <w:rsid w:val="00DB4E2F"/>
    <w:rsid w:val="00DB5CA2"/>
    <w:rsid w:val="00DB6D44"/>
    <w:rsid w:val="00DB7110"/>
    <w:rsid w:val="00DB712C"/>
    <w:rsid w:val="00DB7914"/>
    <w:rsid w:val="00DC0E76"/>
    <w:rsid w:val="00DC11B6"/>
    <w:rsid w:val="00DC1B7D"/>
    <w:rsid w:val="00DC21F4"/>
    <w:rsid w:val="00DC2548"/>
    <w:rsid w:val="00DC2F3E"/>
    <w:rsid w:val="00DC2FA8"/>
    <w:rsid w:val="00DC348C"/>
    <w:rsid w:val="00DC386A"/>
    <w:rsid w:val="00DC39E9"/>
    <w:rsid w:val="00DC3A80"/>
    <w:rsid w:val="00DC3B42"/>
    <w:rsid w:val="00DC3D87"/>
    <w:rsid w:val="00DC412C"/>
    <w:rsid w:val="00DC4993"/>
    <w:rsid w:val="00DC4B8F"/>
    <w:rsid w:val="00DC4C02"/>
    <w:rsid w:val="00DC5F44"/>
    <w:rsid w:val="00DC6510"/>
    <w:rsid w:val="00DC6B14"/>
    <w:rsid w:val="00DC76E7"/>
    <w:rsid w:val="00DD038E"/>
    <w:rsid w:val="00DD07F6"/>
    <w:rsid w:val="00DD0A45"/>
    <w:rsid w:val="00DD0B06"/>
    <w:rsid w:val="00DD12DC"/>
    <w:rsid w:val="00DD146D"/>
    <w:rsid w:val="00DD1683"/>
    <w:rsid w:val="00DD3AEE"/>
    <w:rsid w:val="00DD3CBA"/>
    <w:rsid w:val="00DD3E1E"/>
    <w:rsid w:val="00DD4919"/>
    <w:rsid w:val="00DD4B57"/>
    <w:rsid w:val="00DD518B"/>
    <w:rsid w:val="00DD553D"/>
    <w:rsid w:val="00DD57D1"/>
    <w:rsid w:val="00DD65CE"/>
    <w:rsid w:val="00DD6866"/>
    <w:rsid w:val="00DD6BB1"/>
    <w:rsid w:val="00DD6CA4"/>
    <w:rsid w:val="00DD6F61"/>
    <w:rsid w:val="00DD7D7C"/>
    <w:rsid w:val="00DE02DD"/>
    <w:rsid w:val="00DE0B7E"/>
    <w:rsid w:val="00DE0DCC"/>
    <w:rsid w:val="00DE1114"/>
    <w:rsid w:val="00DE1221"/>
    <w:rsid w:val="00DE1BF8"/>
    <w:rsid w:val="00DE1C88"/>
    <w:rsid w:val="00DE1D7F"/>
    <w:rsid w:val="00DE251B"/>
    <w:rsid w:val="00DE25B9"/>
    <w:rsid w:val="00DE27F6"/>
    <w:rsid w:val="00DE2F03"/>
    <w:rsid w:val="00DE31D9"/>
    <w:rsid w:val="00DE381D"/>
    <w:rsid w:val="00DE3AFF"/>
    <w:rsid w:val="00DE3CFC"/>
    <w:rsid w:val="00DE428D"/>
    <w:rsid w:val="00DE4F79"/>
    <w:rsid w:val="00DE5584"/>
    <w:rsid w:val="00DE56B2"/>
    <w:rsid w:val="00DE57BD"/>
    <w:rsid w:val="00DE5AC8"/>
    <w:rsid w:val="00DE5AF2"/>
    <w:rsid w:val="00DE5BBE"/>
    <w:rsid w:val="00DE5D41"/>
    <w:rsid w:val="00DE619A"/>
    <w:rsid w:val="00DE6550"/>
    <w:rsid w:val="00DE699F"/>
    <w:rsid w:val="00DE6D63"/>
    <w:rsid w:val="00DE75AD"/>
    <w:rsid w:val="00DE75D3"/>
    <w:rsid w:val="00DE7ED4"/>
    <w:rsid w:val="00DF05EB"/>
    <w:rsid w:val="00DF0EB2"/>
    <w:rsid w:val="00DF176C"/>
    <w:rsid w:val="00DF1778"/>
    <w:rsid w:val="00DF1DA3"/>
    <w:rsid w:val="00DF20F9"/>
    <w:rsid w:val="00DF25C2"/>
    <w:rsid w:val="00DF2A29"/>
    <w:rsid w:val="00DF2CA7"/>
    <w:rsid w:val="00DF31D9"/>
    <w:rsid w:val="00DF3D9E"/>
    <w:rsid w:val="00DF42BD"/>
    <w:rsid w:val="00DF4420"/>
    <w:rsid w:val="00DF48BA"/>
    <w:rsid w:val="00DF4925"/>
    <w:rsid w:val="00DF4A95"/>
    <w:rsid w:val="00DF508C"/>
    <w:rsid w:val="00DF56E8"/>
    <w:rsid w:val="00DF59C0"/>
    <w:rsid w:val="00DF6A52"/>
    <w:rsid w:val="00DF6CBE"/>
    <w:rsid w:val="00DF70BC"/>
    <w:rsid w:val="00DF70FE"/>
    <w:rsid w:val="00DF74A3"/>
    <w:rsid w:val="00DF74F0"/>
    <w:rsid w:val="00DF76CE"/>
    <w:rsid w:val="00DF7885"/>
    <w:rsid w:val="00E00548"/>
    <w:rsid w:val="00E00581"/>
    <w:rsid w:val="00E00591"/>
    <w:rsid w:val="00E0077D"/>
    <w:rsid w:val="00E00B27"/>
    <w:rsid w:val="00E00CA8"/>
    <w:rsid w:val="00E00F0C"/>
    <w:rsid w:val="00E00F28"/>
    <w:rsid w:val="00E01419"/>
    <w:rsid w:val="00E01461"/>
    <w:rsid w:val="00E01D6E"/>
    <w:rsid w:val="00E0203D"/>
    <w:rsid w:val="00E02667"/>
    <w:rsid w:val="00E02681"/>
    <w:rsid w:val="00E02854"/>
    <w:rsid w:val="00E02F6F"/>
    <w:rsid w:val="00E02FB9"/>
    <w:rsid w:val="00E03501"/>
    <w:rsid w:val="00E04AC5"/>
    <w:rsid w:val="00E04C0D"/>
    <w:rsid w:val="00E04F46"/>
    <w:rsid w:val="00E066EA"/>
    <w:rsid w:val="00E06B94"/>
    <w:rsid w:val="00E07745"/>
    <w:rsid w:val="00E07F47"/>
    <w:rsid w:val="00E1053C"/>
    <w:rsid w:val="00E12153"/>
    <w:rsid w:val="00E12238"/>
    <w:rsid w:val="00E12F72"/>
    <w:rsid w:val="00E13140"/>
    <w:rsid w:val="00E1335A"/>
    <w:rsid w:val="00E13ED7"/>
    <w:rsid w:val="00E1438B"/>
    <w:rsid w:val="00E14A39"/>
    <w:rsid w:val="00E14F3C"/>
    <w:rsid w:val="00E151B7"/>
    <w:rsid w:val="00E15D28"/>
    <w:rsid w:val="00E16DCE"/>
    <w:rsid w:val="00E17416"/>
    <w:rsid w:val="00E1790D"/>
    <w:rsid w:val="00E17A75"/>
    <w:rsid w:val="00E17AAE"/>
    <w:rsid w:val="00E17CEA"/>
    <w:rsid w:val="00E17F20"/>
    <w:rsid w:val="00E209E8"/>
    <w:rsid w:val="00E20BC4"/>
    <w:rsid w:val="00E2178B"/>
    <w:rsid w:val="00E21E25"/>
    <w:rsid w:val="00E236C7"/>
    <w:rsid w:val="00E244F5"/>
    <w:rsid w:val="00E2633F"/>
    <w:rsid w:val="00E265D9"/>
    <w:rsid w:val="00E26F8D"/>
    <w:rsid w:val="00E271C8"/>
    <w:rsid w:val="00E2725E"/>
    <w:rsid w:val="00E27AE6"/>
    <w:rsid w:val="00E300F9"/>
    <w:rsid w:val="00E305F0"/>
    <w:rsid w:val="00E308DB"/>
    <w:rsid w:val="00E30C13"/>
    <w:rsid w:val="00E30C49"/>
    <w:rsid w:val="00E31B77"/>
    <w:rsid w:val="00E32A10"/>
    <w:rsid w:val="00E3309B"/>
    <w:rsid w:val="00E33963"/>
    <w:rsid w:val="00E34966"/>
    <w:rsid w:val="00E34B71"/>
    <w:rsid w:val="00E35191"/>
    <w:rsid w:val="00E3525A"/>
    <w:rsid w:val="00E35842"/>
    <w:rsid w:val="00E35969"/>
    <w:rsid w:val="00E35B0F"/>
    <w:rsid w:val="00E35FE9"/>
    <w:rsid w:val="00E3647B"/>
    <w:rsid w:val="00E36F36"/>
    <w:rsid w:val="00E3722C"/>
    <w:rsid w:val="00E405B3"/>
    <w:rsid w:val="00E40E3E"/>
    <w:rsid w:val="00E40F72"/>
    <w:rsid w:val="00E40F74"/>
    <w:rsid w:val="00E41221"/>
    <w:rsid w:val="00E412F1"/>
    <w:rsid w:val="00E41667"/>
    <w:rsid w:val="00E41DE9"/>
    <w:rsid w:val="00E42379"/>
    <w:rsid w:val="00E42495"/>
    <w:rsid w:val="00E424DA"/>
    <w:rsid w:val="00E42518"/>
    <w:rsid w:val="00E433EC"/>
    <w:rsid w:val="00E4369A"/>
    <w:rsid w:val="00E44020"/>
    <w:rsid w:val="00E44F9F"/>
    <w:rsid w:val="00E46116"/>
    <w:rsid w:val="00E46225"/>
    <w:rsid w:val="00E46C68"/>
    <w:rsid w:val="00E46FB2"/>
    <w:rsid w:val="00E4734E"/>
    <w:rsid w:val="00E4759D"/>
    <w:rsid w:val="00E4760D"/>
    <w:rsid w:val="00E500A4"/>
    <w:rsid w:val="00E507C0"/>
    <w:rsid w:val="00E50C55"/>
    <w:rsid w:val="00E511D5"/>
    <w:rsid w:val="00E5187F"/>
    <w:rsid w:val="00E53893"/>
    <w:rsid w:val="00E538B2"/>
    <w:rsid w:val="00E539D1"/>
    <w:rsid w:val="00E53FAC"/>
    <w:rsid w:val="00E540D8"/>
    <w:rsid w:val="00E541F2"/>
    <w:rsid w:val="00E54311"/>
    <w:rsid w:val="00E558D3"/>
    <w:rsid w:val="00E55F37"/>
    <w:rsid w:val="00E562F2"/>
    <w:rsid w:val="00E568E1"/>
    <w:rsid w:val="00E56C5F"/>
    <w:rsid w:val="00E57A80"/>
    <w:rsid w:val="00E57E15"/>
    <w:rsid w:val="00E602CA"/>
    <w:rsid w:val="00E603B5"/>
    <w:rsid w:val="00E607C5"/>
    <w:rsid w:val="00E60918"/>
    <w:rsid w:val="00E61193"/>
    <w:rsid w:val="00E6156D"/>
    <w:rsid w:val="00E61E03"/>
    <w:rsid w:val="00E6204F"/>
    <w:rsid w:val="00E62C9C"/>
    <w:rsid w:val="00E62E8F"/>
    <w:rsid w:val="00E62E9A"/>
    <w:rsid w:val="00E638D9"/>
    <w:rsid w:val="00E63B0F"/>
    <w:rsid w:val="00E64CE1"/>
    <w:rsid w:val="00E65FB2"/>
    <w:rsid w:val="00E66756"/>
    <w:rsid w:val="00E6676F"/>
    <w:rsid w:val="00E66880"/>
    <w:rsid w:val="00E676BA"/>
    <w:rsid w:val="00E67A0A"/>
    <w:rsid w:val="00E701BB"/>
    <w:rsid w:val="00E7153B"/>
    <w:rsid w:val="00E71B65"/>
    <w:rsid w:val="00E71F0A"/>
    <w:rsid w:val="00E724FC"/>
    <w:rsid w:val="00E7296D"/>
    <w:rsid w:val="00E739B2"/>
    <w:rsid w:val="00E73EA5"/>
    <w:rsid w:val="00E74100"/>
    <w:rsid w:val="00E74F07"/>
    <w:rsid w:val="00E75209"/>
    <w:rsid w:val="00E75210"/>
    <w:rsid w:val="00E75397"/>
    <w:rsid w:val="00E754DC"/>
    <w:rsid w:val="00E75D8B"/>
    <w:rsid w:val="00E760AA"/>
    <w:rsid w:val="00E765CC"/>
    <w:rsid w:val="00E76645"/>
    <w:rsid w:val="00E76A8C"/>
    <w:rsid w:val="00E77010"/>
    <w:rsid w:val="00E776B9"/>
    <w:rsid w:val="00E8001D"/>
    <w:rsid w:val="00E80826"/>
    <w:rsid w:val="00E81371"/>
    <w:rsid w:val="00E81572"/>
    <w:rsid w:val="00E8162E"/>
    <w:rsid w:val="00E81F30"/>
    <w:rsid w:val="00E82FB8"/>
    <w:rsid w:val="00E83AC8"/>
    <w:rsid w:val="00E84101"/>
    <w:rsid w:val="00E85158"/>
    <w:rsid w:val="00E859C8"/>
    <w:rsid w:val="00E8601D"/>
    <w:rsid w:val="00E86597"/>
    <w:rsid w:val="00E87996"/>
    <w:rsid w:val="00E9016A"/>
    <w:rsid w:val="00E903E1"/>
    <w:rsid w:val="00E90458"/>
    <w:rsid w:val="00E909B2"/>
    <w:rsid w:val="00E90B33"/>
    <w:rsid w:val="00E90C13"/>
    <w:rsid w:val="00E91BA1"/>
    <w:rsid w:val="00E92067"/>
    <w:rsid w:val="00E93092"/>
    <w:rsid w:val="00E9379F"/>
    <w:rsid w:val="00E93AF2"/>
    <w:rsid w:val="00E94C46"/>
    <w:rsid w:val="00E94DE8"/>
    <w:rsid w:val="00E95252"/>
    <w:rsid w:val="00E953CD"/>
    <w:rsid w:val="00E95643"/>
    <w:rsid w:val="00E9599E"/>
    <w:rsid w:val="00E95D08"/>
    <w:rsid w:val="00E96454"/>
    <w:rsid w:val="00E96601"/>
    <w:rsid w:val="00E96860"/>
    <w:rsid w:val="00E969DC"/>
    <w:rsid w:val="00E96B02"/>
    <w:rsid w:val="00E96C65"/>
    <w:rsid w:val="00E97A0B"/>
    <w:rsid w:val="00E97C5C"/>
    <w:rsid w:val="00EA059A"/>
    <w:rsid w:val="00EA0E51"/>
    <w:rsid w:val="00EA0ED6"/>
    <w:rsid w:val="00EA1076"/>
    <w:rsid w:val="00EA183A"/>
    <w:rsid w:val="00EA2C1F"/>
    <w:rsid w:val="00EA30B2"/>
    <w:rsid w:val="00EA374E"/>
    <w:rsid w:val="00EA3ABD"/>
    <w:rsid w:val="00EA45C6"/>
    <w:rsid w:val="00EA45D6"/>
    <w:rsid w:val="00EA4B23"/>
    <w:rsid w:val="00EA4E58"/>
    <w:rsid w:val="00EA5092"/>
    <w:rsid w:val="00EA603B"/>
    <w:rsid w:val="00EA625E"/>
    <w:rsid w:val="00EA746D"/>
    <w:rsid w:val="00EA7BE3"/>
    <w:rsid w:val="00EA7E16"/>
    <w:rsid w:val="00EA7FE2"/>
    <w:rsid w:val="00EB0396"/>
    <w:rsid w:val="00EB06D3"/>
    <w:rsid w:val="00EB2286"/>
    <w:rsid w:val="00EB3583"/>
    <w:rsid w:val="00EB46D5"/>
    <w:rsid w:val="00EB4710"/>
    <w:rsid w:val="00EB5297"/>
    <w:rsid w:val="00EB5405"/>
    <w:rsid w:val="00EB5EA7"/>
    <w:rsid w:val="00EB66CE"/>
    <w:rsid w:val="00EB6BE9"/>
    <w:rsid w:val="00EB7B08"/>
    <w:rsid w:val="00EC0061"/>
    <w:rsid w:val="00EC0140"/>
    <w:rsid w:val="00EC041B"/>
    <w:rsid w:val="00EC0E70"/>
    <w:rsid w:val="00EC12B5"/>
    <w:rsid w:val="00EC12EF"/>
    <w:rsid w:val="00EC1386"/>
    <w:rsid w:val="00EC1554"/>
    <w:rsid w:val="00EC1587"/>
    <w:rsid w:val="00EC224F"/>
    <w:rsid w:val="00EC25EE"/>
    <w:rsid w:val="00EC2D69"/>
    <w:rsid w:val="00EC3053"/>
    <w:rsid w:val="00EC37B7"/>
    <w:rsid w:val="00EC3C0C"/>
    <w:rsid w:val="00EC4971"/>
    <w:rsid w:val="00EC49A9"/>
    <w:rsid w:val="00EC4A62"/>
    <w:rsid w:val="00EC4CAE"/>
    <w:rsid w:val="00EC51A8"/>
    <w:rsid w:val="00EC51C6"/>
    <w:rsid w:val="00EC57BB"/>
    <w:rsid w:val="00EC5903"/>
    <w:rsid w:val="00EC5A8C"/>
    <w:rsid w:val="00EC5ADC"/>
    <w:rsid w:val="00EC6420"/>
    <w:rsid w:val="00EC65AD"/>
    <w:rsid w:val="00EC6980"/>
    <w:rsid w:val="00EC6D1C"/>
    <w:rsid w:val="00EC6F4C"/>
    <w:rsid w:val="00EC74F9"/>
    <w:rsid w:val="00EC7695"/>
    <w:rsid w:val="00EC7DBF"/>
    <w:rsid w:val="00ED0035"/>
    <w:rsid w:val="00ED024B"/>
    <w:rsid w:val="00ED2820"/>
    <w:rsid w:val="00ED313A"/>
    <w:rsid w:val="00ED31B5"/>
    <w:rsid w:val="00ED4862"/>
    <w:rsid w:val="00ED520A"/>
    <w:rsid w:val="00ED5386"/>
    <w:rsid w:val="00ED59DC"/>
    <w:rsid w:val="00ED6272"/>
    <w:rsid w:val="00ED66A7"/>
    <w:rsid w:val="00ED66AF"/>
    <w:rsid w:val="00ED6703"/>
    <w:rsid w:val="00ED71E3"/>
    <w:rsid w:val="00EE06FC"/>
    <w:rsid w:val="00EE12AF"/>
    <w:rsid w:val="00EE1C76"/>
    <w:rsid w:val="00EE202A"/>
    <w:rsid w:val="00EE32D1"/>
    <w:rsid w:val="00EE362A"/>
    <w:rsid w:val="00EE3B3E"/>
    <w:rsid w:val="00EE4722"/>
    <w:rsid w:val="00EE4C5D"/>
    <w:rsid w:val="00EE4D41"/>
    <w:rsid w:val="00EE4F80"/>
    <w:rsid w:val="00EE563F"/>
    <w:rsid w:val="00EE56FA"/>
    <w:rsid w:val="00EE587D"/>
    <w:rsid w:val="00EE5C1F"/>
    <w:rsid w:val="00EE68EB"/>
    <w:rsid w:val="00EE6A52"/>
    <w:rsid w:val="00EE6B3D"/>
    <w:rsid w:val="00EE6C35"/>
    <w:rsid w:val="00EE6CAC"/>
    <w:rsid w:val="00EE7408"/>
    <w:rsid w:val="00EE75F3"/>
    <w:rsid w:val="00EE7C92"/>
    <w:rsid w:val="00EE7F2D"/>
    <w:rsid w:val="00EF042D"/>
    <w:rsid w:val="00EF06E0"/>
    <w:rsid w:val="00EF0E51"/>
    <w:rsid w:val="00EF0EC8"/>
    <w:rsid w:val="00EF1D8C"/>
    <w:rsid w:val="00EF209D"/>
    <w:rsid w:val="00EF2BBE"/>
    <w:rsid w:val="00EF2BD2"/>
    <w:rsid w:val="00EF33F5"/>
    <w:rsid w:val="00EF394A"/>
    <w:rsid w:val="00EF3BF1"/>
    <w:rsid w:val="00EF4280"/>
    <w:rsid w:val="00EF43BE"/>
    <w:rsid w:val="00EF474F"/>
    <w:rsid w:val="00EF4808"/>
    <w:rsid w:val="00EF5B9E"/>
    <w:rsid w:val="00EF643B"/>
    <w:rsid w:val="00EF6C33"/>
    <w:rsid w:val="00EF6DAB"/>
    <w:rsid w:val="00EF7A37"/>
    <w:rsid w:val="00EF7B2B"/>
    <w:rsid w:val="00EF7EEF"/>
    <w:rsid w:val="00F009F6"/>
    <w:rsid w:val="00F0136B"/>
    <w:rsid w:val="00F01A89"/>
    <w:rsid w:val="00F01D78"/>
    <w:rsid w:val="00F0279B"/>
    <w:rsid w:val="00F02A4C"/>
    <w:rsid w:val="00F036A1"/>
    <w:rsid w:val="00F036C2"/>
    <w:rsid w:val="00F03B6E"/>
    <w:rsid w:val="00F03E4D"/>
    <w:rsid w:val="00F041B0"/>
    <w:rsid w:val="00F042F8"/>
    <w:rsid w:val="00F04E07"/>
    <w:rsid w:val="00F05D37"/>
    <w:rsid w:val="00F06284"/>
    <w:rsid w:val="00F0632E"/>
    <w:rsid w:val="00F069B6"/>
    <w:rsid w:val="00F06ACA"/>
    <w:rsid w:val="00F072D7"/>
    <w:rsid w:val="00F07368"/>
    <w:rsid w:val="00F07998"/>
    <w:rsid w:val="00F10896"/>
    <w:rsid w:val="00F122C7"/>
    <w:rsid w:val="00F139B9"/>
    <w:rsid w:val="00F13A64"/>
    <w:rsid w:val="00F13DB1"/>
    <w:rsid w:val="00F144C2"/>
    <w:rsid w:val="00F14A08"/>
    <w:rsid w:val="00F1659E"/>
    <w:rsid w:val="00F1664F"/>
    <w:rsid w:val="00F1743E"/>
    <w:rsid w:val="00F17461"/>
    <w:rsid w:val="00F175D2"/>
    <w:rsid w:val="00F176ED"/>
    <w:rsid w:val="00F17802"/>
    <w:rsid w:val="00F2036F"/>
    <w:rsid w:val="00F203EE"/>
    <w:rsid w:val="00F207E2"/>
    <w:rsid w:val="00F2083E"/>
    <w:rsid w:val="00F20F4B"/>
    <w:rsid w:val="00F20FC2"/>
    <w:rsid w:val="00F23D24"/>
    <w:rsid w:val="00F24264"/>
    <w:rsid w:val="00F248D2"/>
    <w:rsid w:val="00F24AE0"/>
    <w:rsid w:val="00F25144"/>
    <w:rsid w:val="00F25213"/>
    <w:rsid w:val="00F25670"/>
    <w:rsid w:val="00F25D70"/>
    <w:rsid w:val="00F25FF9"/>
    <w:rsid w:val="00F26A06"/>
    <w:rsid w:val="00F26DD1"/>
    <w:rsid w:val="00F26FFE"/>
    <w:rsid w:val="00F27080"/>
    <w:rsid w:val="00F27599"/>
    <w:rsid w:val="00F276D8"/>
    <w:rsid w:val="00F27A86"/>
    <w:rsid w:val="00F303A0"/>
    <w:rsid w:val="00F3054F"/>
    <w:rsid w:val="00F30882"/>
    <w:rsid w:val="00F30A82"/>
    <w:rsid w:val="00F30D69"/>
    <w:rsid w:val="00F3140B"/>
    <w:rsid w:val="00F3184E"/>
    <w:rsid w:val="00F31FE7"/>
    <w:rsid w:val="00F32222"/>
    <w:rsid w:val="00F3423B"/>
    <w:rsid w:val="00F345D4"/>
    <w:rsid w:val="00F34820"/>
    <w:rsid w:val="00F34A88"/>
    <w:rsid w:val="00F34D55"/>
    <w:rsid w:val="00F34F33"/>
    <w:rsid w:val="00F37087"/>
    <w:rsid w:val="00F3754A"/>
    <w:rsid w:val="00F40AA5"/>
    <w:rsid w:val="00F40E80"/>
    <w:rsid w:val="00F41571"/>
    <w:rsid w:val="00F41BFC"/>
    <w:rsid w:val="00F41C72"/>
    <w:rsid w:val="00F42742"/>
    <w:rsid w:val="00F4387B"/>
    <w:rsid w:val="00F43D00"/>
    <w:rsid w:val="00F445E3"/>
    <w:rsid w:val="00F44F0B"/>
    <w:rsid w:val="00F452C7"/>
    <w:rsid w:val="00F45579"/>
    <w:rsid w:val="00F45B92"/>
    <w:rsid w:val="00F46104"/>
    <w:rsid w:val="00F46736"/>
    <w:rsid w:val="00F4693C"/>
    <w:rsid w:val="00F46D47"/>
    <w:rsid w:val="00F46F60"/>
    <w:rsid w:val="00F478A1"/>
    <w:rsid w:val="00F500D3"/>
    <w:rsid w:val="00F503DB"/>
    <w:rsid w:val="00F508CD"/>
    <w:rsid w:val="00F50F54"/>
    <w:rsid w:val="00F51524"/>
    <w:rsid w:val="00F51C7F"/>
    <w:rsid w:val="00F51F58"/>
    <w:rsid w:val="00F51F8D"/>
    <w:rsid w:val="00F520F7"/>
    <w:rsid w:val="00F521AD"/>
    <w:rsid w:val="00F5287D"/>
    <w:rsid w:val="00F53C9A"/>
    <w:rsid w:val="00F53EB6"/>
    <w:rsid w:val="00F5459B"/>
    <w:rsid w:val="00F55F91"/>
    <w:rsid w:val="00F55FC8"/>
    <w:rsid w:val="00F56A19"/>
    <w:rsid w:val="00F56E99"/>
    <w:rsid w:val="00F5703D"/>
    <w:rsid w:val="00F575B8"/>
    <w:rsid w:val="00F577DE"/>
    <w:rsid w:val="00F57D9C"/>
    <w:rsid w:val="00F60715"/>
    <w:rsid w:val="00F611FF"/>
    <w:rsid w:val="00F613DB"/>
    <w:rsid w:val="00F61877"/>
    <w:rsid w:val="00F61B0E"/>
    <w:rsid w:val="00F62993"/>
    <w:rsid w:val="00F6399B"/>
    <w:rsid w:val="00F64381"/>
    <w:rsid w:val="00F65648"/>
    <w:rsid w:val="00F65D70"/>
    <w:rsid w:val="00F66475"/>
    <w:rsid w:val="00F6669A"/>
    <w:rsid w:val="00F66F32"/>
    <w:rsid w:val="00F67128"/>
    <w:rsid w:val="00F671EA"/>
    <w:rsid w:val="00F67A44"/>
    <w:rsid w:val="00F67DA1"/>
    <w:rsid w:val="00F70285"/>
    <w:rsid w:val="00F7060F"/>
    <w:rsid w:val="00F70684"/>
    <w:rsid w:val="00F70879"/>
    <w:rsid w:val="00F70BA4"/>
    <w:rsid w:val="00F71220"/>
    <w:rsid w:val="00F717C6"/>
    <w:rsid w:val="00F71A18"/>
    <w:rsid w:val="00F72D5D"/>
    <w:rsid w:val="00F73125"/>
    <w:rsid w:val="00F73DE1"/>
    <w:rsid w:val="00F73F48"/>
    <w:rsid w:val="00F74F57"/>
    <w:rsid w:val="00F761D3"/>
    <w:rsid w:val="00F76737"/>
    <w:rsid w:val="00F76EEA"/>
    <w:rsid w:val="00F7782A"/>
    <w:rsid w:val="00F77960"/>
    <w:rsid w:val="00F77991"/>
    <w:rsid w:val="00F77A82"/>
    <w:rsid w:val="00F77F06"/>
    <w:rsid w:val="00F802A3"/>
    <w:rsid w:val="00F8056B"/>
    <w:rsid w:val="00F80E59"/>
    <w:rsid w:val="00F810C0"/>
    <w:rsid w:val="00F8142D"/>
    <w:rsid w:val="00F8187F"/>
    <w:rsid w:val="00F81AA4"/>
    <w:rsid w:val="00F81DF4"/>
    <w:rsid w:val="00F82757"/>
    <w:rsid w:val="00F82847"/>
    <w:rsid w:val="00F84C83"/>
    <w:rsid w:val="00F85190"/>
    <w:rsid w:val="00F854CA"/>
    <w:rsid w:val="00F856DD"/>
    <w:rsid w:val="00F85B0D"/>
    <w:rsid w:val="00F85E69"/>
    <w:rsid w:val="00F864D4"/>
    <w:rsid w:val="00F8653F"/>
    <w:rsid w:val="00F8758C"/>
    <w:rsid w:val="00F87643"/>
    <w:rsid w:val="00F87CA6"/>
    <w:rsid w:val="00F909CE"/>
    <w:rsid w:val="00F90AEA"/>
    <w:rsid w:val="00F91474"/>
    <w:rsid w:val="00F9156B"/>
    <w:rsid w:val="00F918C7"/>
    <w:rsid w:val="00F92509"/>
    <w:rsid w:val="00F928D6"/>
    <w:rsid w:val="00F93124"/>
    <w:rsid w:val="00F9337C"/>
    <w:rsid w:val="00F93898"/>
    <w:rsid w:val="00F955FC"/>
    <w:rsid w:val="00F95F64"/>
    <w:rsid w:val="00F96387"/>
    <w:rsid w:val="00F9659A"/>
    <w:rsid w:val="00F96C73"/>
    <w:rsid w:val="00F96D00"/>
    <w:rsid w:val="00F9704B"/>
    <w:rsid w:val="00F97421"/>
    <w:rsid w:val="00F974AD"/>
    <w:rsid w:val="00F97B30"/>
    <w:rsid w:val="00F97C76"/>
    <w:rsid w:val="00FA0057"/>
    <w:rsid w:val="00FA02EB"/>
    <w:rsid w:val="00FA07C0"/>
    <w:rsid w:val="00FA1622"/>
    <w:rsid w:val="00FA1DDB"/>
    <w:rsid w:val="00FA2392"/>
    <w:rsid w:val="00FA23A7"/>
    <w:rsid w:val="00FA3993"/>
    <w:rsid w:val="00FA49F2"/>
    <w:rsid w:val="00FA4CF4"/>
    <w:rsid w:val="00FA4D56"/>
    <w:rsid w:val="00FA4DC2"/>
    <w:rsid w:val="00FA51C3"/>
    <w:rsid w:val="00FA5AAC"/>
    <w:rsid w:val="00FA61C8"/>
    <w:rsid w:val="00FA68F9"/>
    <w:rsid w:val="00FA6D06"/>
    <w:rsid w:val="00FA709A"/>
    <w:rsid w:val="00FA7128"/>
    <w:rsid w:val="00FB03F1"/>
    <w:rsid w:val="00FB0461"/>
    <w:rsid w:val="00FB086D"/>
    <w:rsid w:val="00FB0EE8"/>
    <w:rsid w:val="00FB18C0"/>
    <w:rsid w:val="00FB21A0"/>
    <w:rsid w:val="00FB269E"/>
    <w:rsid w:val="00FB2867"/>
    <w:rsid w:val="00FB28FB"/>
    <w:rsid w:val="00FB29A9"/>
    <w:rsid w:val="00FB3332"/>
    <w:rsid w:val="00FB3767"/>
    <w:rsid w:val="00FB5D99"/>
    <w:rsid w:val="00FB5F2B"/>
    <w:rsid w:val="00FB5F76"/>
    <w:rsid w:val="00FB604B"/>
    <w:rsid w:val="00FB6A35"/>
    <w:rsid w:val="00FB6EE5"/>
    <w:rsid w:val="00FB7C64"/>
    <w:rsid w:val="00FC0804"/>
    <w:rsid w:val="00FC15FF"/>
    <w:rsid w:val="00FC20DD"/>
    <w:rsid w:val="00FC21FC"/>
    <w:rsid w:val="00FC2604"/>
    <w:rsid w:val="00FC296E"/>
    <w:rsid w:val="00FC33D3"/>
    <w:rsid w:val="00FC3C38"/>
    <w:rsid w:val="00FC3F54"/>
    <w:rsid w:val="00FC4024"/>
    <w:rsid w:val="00FC41FB"/>
    <w:rsid w:val="00FC48D1"/>
    <w:rsid w:val="00FC4914"/>
    <w:rsid w:val="00FC4D8B"/>
    <w:rsid w:val="00FC591E"/>
    <w:rsid w:val="00FC5A68"/>
    <w:rsid w:val="00FC5B68"/>
    <w:rsid w:val="00FC6B8A"/>
    <w:rsid w:val="00FC716E"/>
    <w:rsid w:val="00FC7331"/>
    <w:rsid w:val="00FD0605"/>
    <w:rsid w:val="00FD0B52"/>
    <w:rsid w:val="00FD0DCA"/>
    <w:rsid w:val="00FD1535"/>
    <w:rsid w:val="00FD2032"/>
    <w:rsid w:val="00FD269A"/>
    <w:rsid w:val="00FD277D"/>
    <w:rsid w:val="00FD2DDB"/>
    <w:rsid w:val="00FD3889"/>
    <w:rsid w:val="00FD47B0"/>
    <w:rsid w:val="00FD4BFD"/>
    <w:rsid w:val="00FD4D73"/>
    <w:rsid w:val="00FD4E92"/>
    <w:rsid w:val="00FD5276"/>
    <w:rsid w:val="00FD5437"/>
    <w:rsid w:val="00FD5AF4"/>
    <w:rsid w:val="00FD5DF7"/>
    <w:rsid w:val="00FD5E94"/>
    <w:rsid w:val="00FD6357"/>
    <w:rsid w:val="00FD65EB"/>
    <w:rsid w:val="00FD6927"/>
    <w:rsid w:val="00FD6E29"/>
    <w:rsid w:val="00FD7416"/>
    <w:rsid w:val="00FE055C"/>
    <w:rsid w:val="00FE05C7"/>
    <w:rsid w:val="00FE062B"/>
    <w:rsid w:val="00FE0DF7"/>
    <w:rsid w:val="00FE1872"/>
    <w:rsid w:val="00FE26AD"/>
    <w:rsid w:val="00FE3A72"/>
    <w:rsid w:val="00FE3AD2"/>
    <w:rsid w:val="00FE43AD"/>
    <w:rsid w:val="00FE48AB"/>
    <w:rsid w:val="00FE48F9"/>
    <w:rsid w:val="00FE4CD2"/>
    <w:rsid w:val="00FE4D1E"/>
    <w:rsid w:val="00FE5B54"/>
    <w:rsid w:val="00FE5E08"/>
    <w:rsid w:val="00FE696E"/>
    <w:rsid w:val="00FE6DB1"/>
    <w:rsid w:val="00FE70E1"/>
    <w:rsid w:val="00FE73EF"/>
    <w:rsid w:val="00FE75D7"/>
    <w:rsid w:val="00FE7616"/>
    <w:rsid w:val="00FE76AD"/>
    <w:rsid w:val="00FE78C0"/>
    <w:rsid w:val="00FF1648"/>
    <w:rsid w:val="00FF165E"/>
    <w:rsid w:val="00FF1D39"/>
    <w:rsid w:val="00FF1E3A"/>
    <w:rsid w:val="00FF2362"/>
    <w:rsid w:val="00FF2A64"/>
    <w:rsid w:val="00FF2FF1"/>
    <w:rsid w:val="00FF3629"/>
    <w:rsid w:val="00FF3DD1"/>
    <w:rsid w:val="00FF47BA"/>
    <w:rsid w:val="00FF4CC6"/>
    <w:rsid w:val="00FF5457"/>
    <w:rsid w:val="00FF58FC"/>
    <w:rsid w:val="00FF5E30"/>
    <w:rsid w:val="00FF63E2"/>
    <w:rsid w:val="00FF6B07"/>
    <w:rsid w:val="00FF722C"/>
    <w:rsid w:val="00FF7B3B"/>
    <w:rsid w:val="014341BE"/>
    <w:rsid w:val="01E87A00"/>
    <w:rsid w:val="026B3786"/>
    <w:rsid w:val="027D18D7"/>
    <w:rsid w:val="033D6AA3"/>
    <w:rsid w:val="037A0395"/>
    <w:rsid w:val="03AA16A3"/>
    <w:rsid w:val="03C73B39"/>
    <w:rsid w:val="03E63FE7"/>
    <w:rsid w:val="03FC4061"/>
    <w:rsid w:val="03FD07DA"/>
    <w:rsid w:val="03FF1EDB"/>
    <w:rsid w:val="041663E0"/>
    <w:rsid w:val="04205408"/>
    <w:rsid w:val="04373126"/>
    <w:rsid w:val="04556A14"/>
    <w:rsid w:val="04765B87"/>
    <w:rsid w:val="04B37E71"/>
    <w:rsid w:val="04C85A79"/>
    <w:rsid w:val="051956AC"/>
    <w:rsid w:val="05430010"/>
    <w:rsid w:val="054D2A80"/>
    <w:rsid w:val="0561358F"/>
    <w:rsid w:val="057852FC"/>
    <w:rsid w:val="05CC6BEB"/>
    <w:rsid w:val="061B2EA7"/>
    <w:rsid w:val="06201F68"/>
    <w:rsid w:val="06625D07"/>
    <w:rsid w:val="066D6F1D"/>
    <w:rsid w:val="06982838"/>
    <w:rsid w:val="072606AF"/>
    <w:rsid w:val="07A17003"/>
    <w:rsid w:val="07C64C51"/>
    <w:rsid w:val="07D57C66"/>
    <w:rsid w:val="07E061B6"/>
    <w:rsid w:val="07E62868"/>
    <w:rsid w:val="080116F8"/>
    <w:rsid w:val="081B25C4"/>
    <w:rsid w:val="08941246"/>
    <w:rsid w:val="08BE4230"/>
    <w:rsid w:val="091B25A8"/>
    <w:rsid w:val="094E10EF"/>
    <w:rsid w:val="0A1E4663"/>
    <w:rsid w:val="0A485BC5"/>
    <w:rsid w:val="0A5D30DF"/>
    <w:rsid w:val="0A693AEE"/>
    <w:rsid w:val="0A857E12"/>
    <w:rsid w:val="0B244CE2"/>
    <w:rsid w:val="0BC071CE"/>
    <w:rsid w:val="0C0A0651"/>
    <w:rsid w:val="0C6A11D7"/>
    <w:rsid w:val="0CA7655E"/>
    <w:rsid w:val="0CED0D1B"/>
    <w:rsid w:val="0CF644CC"/>
    <w:rsid w:val="0CFE63A3"/>
    <w:rsid w:val="0D4151C7"/>
    <w:rsid w:val="0D952BE2"/>
    <w:rsid w:val="0DCA5721"/>
    <w:rsid w:val="0E025F3C"/>
    <w:rsid w:val="0E0C532B"/>
    <w:rsid w:val="0E4D77AF"/>
    <w:rsid w:val="0E7B0690"/>
    <w:rsid w:val="0E876966"/>
    <w:rsid w:val="0EB320C7"/>
    <w:rsid w:val="0EC45200"/>
    <w:rsid w:val="0F5F5018"/>
    <w:rsid w:val="0F6B6473"/>
    <w:rsid w:val="0FD5499A"/>
    <w:rsid w:val="1000501F"/>
    <w:rsid w:val="10213481"/>
    <w:rsid w:val="10590C70"/>
    <w:rsid w:val="10662318"/>
    <w:rsid w:val="10EE46DA"/>
    <w:rsid w:val="11150782"/>
    <w:rsid w:val="11207478"/>
    <w:rsid w:val="1158463D"/>
    <w:rsid w:val="1165379D"/>
    <w:rsid w:val="11A6547D"/>
    <w:rsid w:val="12FF55F8"/>
    <w:rsid w:val="131D5B56"/>
    <w:rsid w:val="141E673A"/>
    <w:rsid w:val="14923A03"/>
    <w:rsid w:val="14B74983"/>
    <w:rsid w:val="15237BF7"/>
    <w:rsid w:val="1542203B"/>
    <w:rsid w:val="154E65E3"/>
    <w:rsid w:val="15D9606D"/>
    <w:rsid w:val="15E837B6"/>
    <w:rsid w:val="16121E63"/>
    <w:rsid w:val="164A0565"/>
    <w:rsid w:val="16621BD9"/>
    <w:rsid w:val="169F7366"/>
    <w:rsid w:val="16A60275"/>
    <w:rsid w:val="16B0040B"/>
    <w:rsid w:val="16E01965"/>
    <w:rsid w:val="171E6EDF"/>
    <w:rsid w:val="173F3464"/>
    <w:rsid w:val="175C712A"/>
    <w:rsid w:val="17695898"/>
    <w:rsid w:val="17B93920"/>
    <w:rsid w:val="17F02E67"/>
    <w:rsid w:val="181210C5"/>
    <w:rsid w:val="18753447"/>
    <w:rsid w:val="18CC52A8"/>
    <w:rsid w:val="192305D0"/>
    <w:rsid w:val="193F25A9"/>
    <w:rsid w:val="197A35D1"/>
    <w:rsid w:val="19D720DC"/>
    <w:rsid w:val="19E02012"/>
    <w:rsid w:val="1A9A09D2"/>
    <w:rsid w:val="1AF60E5E"/>
    <w:rsid w:val="1B440FF1"/>
    <w:rsid w:val="1B6C5839"/>
    <w:rsid w:val="1B8A749A"/>
    <w:rsid w:val="1C1770DC"/>
    <w:rsid w:val="1C38255D"/>
    <w:rsid w:val="1CC35270"/>
    <w:rsid w:val="1D263BBF"/>
    <w:rsid w:val="1DA27692"/>
    <w:rsid w:val="1E2056A1"/>
    <w:rsid w:val="1E581F6C"/>
    <w:rsid w:val="1F0316EC"/>
    <w:rsid w:val="1F083713"/>
    <w:rsid w:val="1F4C38D6"/>
    <w:rsid w:val="1F9C0DCB"/>
    <w:rsid w:val="1FE25205"/>
    <w:rsid w:val="20BC263B"/>
    <w:rsid w:val="20C82673"/>
    <w:rsid w:val="20D40DB1"/>
    <w:rsid w:val="211B2DE5"/>
    <w:rsid w:val="21267DA4"/>
    <w:rsid w:val="212E6DFF"/>
    <w:rsid w:val="21645EDA"/>
    <w:rsid w:val="216A2092"/>
    <w:rsid w:val="21822C34"/>
    <w:rsid w:val="218A2116"/>
    <w:rsid w:val="22D12037"/>
    <w:rsid w:val="23142512"/>
    <w:rsid w:val="23877461"/>
    <w:rsid w:val="23C453C6"/>
    <w:rsid w:val="2432222F"/>
    <w:rsid w:val="248B2265"/>
    <w:rsid w:val="24B024A0"/>
    <w:rsid w:val="24B330BF"/>
    <w:rsid w:val="24CA0D21"/>
    <w:rsid w:val="24E651BC"/>
    <w:rsid w:val="24EC60A7"/>
    <w:rsid w:val="24F16E5A"/>
    <w:rsid w:val="259221C2"/>
    <w:rsid w:val="25D069F4"/>
    <w:rsid w:val="25D848EB"/>
    <w:rsid w:val="27146AEB"/>
    <w:rsid w:val="272636E7"/>
    <w:rsid w:val="273B6605"/>
    <w:rsid w:val="27CB3CFB"/>
    <w:rsid w:val="27F50430"/>
    <w:rsid w:val="286E2B59"/>
    <w:rsid w:val="28712311"/>
    <w:rsid w:val="28737728"/>
    <w:rsid w:val="28E90311"/>
    <w:rsid w:val="29057D5C"/>
    <w:rsid w:val="29AD4D32"/>
    <w:rsid w:val="2A176436"/>
    <w:rsid w:val="2A353CF9"/>
    <w:rsid w:val="2A375673"/>
    <w:rsid w:val="2ADC521B"/>
    <w:rsid w:val="2AF02CFB"/>
    <w:rsid w:val="2B1C27BE"/>
    <w:rsid w:val="2BA561FD"/>
    <w:rsid w:val="2BC92333"/>
    <w:rsid w:val="2C286D54"/>
    <w:rsid w:val="2C547967"/>
    <w:rsid w:val="2C973FEC"/>
    <w:rsid w:val="2CAC41F1"/>
    <w:rsid w:val="2CF66355"/>
    <w:rsid w:val="2D031CB5"/>
    <w:rsid w:val="2D033DF4"/>
    <w:rsid w:val="2D542351"/>
    <w:rsid w:val="2D5479D1"/>
    <w:rsid w:val="2D7963FC"/>
    <w:rsid w:val="2DF60091"/>
    <w:rsid w:val="2EB20018"/>
    <w:rsid w:val="2EB94419"/>
    <w:rsid w:val="2F653811"/>
    <w:rsid w:val="2F6E397C"/>
    <w:rsid w:val="2F856CD2"/>
    <w:rsid w:val="2FC11EC3"/>
    <w:rsid w:val="3046010C"/>
    <w:rsid w:val="308714B7"/>
    <w:rsid w:val="308F1B0F"/>
    <w:rsid w:val="30DA7758"/>
    <w:rsid w:val="30FB0A13"/>
    <w:rsid w:val="31104C0A"/>
    <w:rsid w:val="31175DF2"/>
    <w:rsid w:val="311C4B16"/>
    <w:rsid w:val="31222C59"/>
    <w:rsid w:val="316F56DE"/>
    <w:rsid w:val="318701C6"/>
    <w:rsid w:val="31A31E24"/>
    <w:rsid w:val="31AF4693"/>
    <w:rsid w:val="31CF6C6E"/>
    <w:rsid w:val="31E1325A"/>
    <w:rsid w:val="32212D92"/>
    <w:rsid w:val="32984A0B"/>
    <w:rsid w:val="32B4519D"/>
    <w:rsid w:val="32C1391A"/>
    <w:rsid w:val="32D65947"/>
    <w:rsid w:val="33032F8C"/>
    <w:rsid w:val="337D3010"/>
    <w:rsid w:val="33C02684"/>
    <w:rsid w:val="33C44CF5"/>
    <w:rsid w:val="33C86479"/>
    <w:rsid w:val="341C036A"/>
    <w:rsid w:val="349F645E"/>
    <w:rsid w:val="34A0272D"/>
    <w:rsid w:val="3534666C"/>
    <w:rsid w:val="356323BE"/>
    <w:rsid w:val="35637F87"/>
    <w:rsid w:val="363A7BF2"/>
    <w:rsid w:val="36501BF2"/>
    <w:rsid w:val="36C66560"/>
    <w:rsid w:val="36C875A3"/>
    <w:rsid w:val="36E04F7F"/>
    <w:rsid w:val="36EB5648"/>
    <w:rsid w:val="37DE0F5A"/>
    <w:rsid w:val="380A2AE7"/>
    <w:rsid w:val="381D7EBF"/>
    <w:rsid w:val="384E27E0"/>
    <w:rsid w:val="38952140"/>
    <w:rsid w:val="38A96F72"/>
    <w:rsid w:val="39812170"/>
    <w:rsid w:val="39835C0D"/>
    <w:rsid w:val="39A84195"/>
    <w:rsid w:val="3A10177B"/>
    <w:rsid w:val="3B16278B"/>
    <w:rsid w:val="3B584E8F"/>
    <w:rsid w:val="3B90207D"/>
    <w:rsid w:val="3BD268E9"/>
    <w:rsid w:val="3C3607A3"/>
    <w:rsid w:val="3C5E067F"/>
    <w:rsid w:val="3D2373D8"/>
    <w:rsid w:val="3D63306E"/>
    <w:rsid w:val="3DEB5C55"/>
    <w:rsid w:val="3E337AE2"/>
    <w:rsid w:val="3E72651C"/>
    <w:rsid w:val="3EEB67BA"/>
    <w:rsid w:val="3EF33F1F"/>
    <w:rsid w:val="40011AB0"/>
    <w:rsid w:val="40320058"/>
    <w:rsid w:val="40390B45"/>
    <w:rsid w:val="40560334"/>
    <w:rsid w:val="40B650D1"/>
    <w:rsid w:val="40EA6B35"/>
    <w:rsid w:val="41232409"/>
    <w:rsid w:val="416B74C6"/>
    <w:rsid w:val="420052EC"/>
    <w:rsid w:val="42216F53"/>
    <w:rsid w:val="42263B2A"/>
    <w:rsid w:val="424B29B9"/>
    <w:rsid w:val="428E3891"/>
    <w:rsid w:val="42DA26B3"/>
    <w:rsid w:val="434C0096"/>
    <w:rsid w:val="43A668DD"/>
    <w:rsid w:val="43BA0F3D"/>
    <w:rsid w:val="443E3CCB"/>
    <w:rsid w:val="44E73C4B"/>
    <w:rsid w:val="4559558B"/>
    <w:rsid w:val="45A06798"/>
    <w:rsid w:val="46495ED8"/>
    <w:rsid w:val="464C721C"/>
    <w:rsid w:val="46FA481C"/>
    <w:rsid w:val="46FD7912"/>
    <w:rsid w:val="47193D85"/>
    <w:rsid w:val="47C50078"/>
    <w:rsid w:val="48584430"/>
    <w:rsid w:val="489C5B78"/>
    <w:rsid w:val="48EA4238"/>
    <w:rsid w:val="48ED3CE7"/>
    <w:rsid w:val="492D68E0"/>
    <w:rsid w:val="493939AC"/>
    <w:rsid w:val="49681A94"/>
    <w:rsid w:val="4A4925CA"/>
    <w:rsid w:val="4A5E485B"/>
    <w:rsid w:val="4A8A2E45"/>
    <w:rsid w:val="4A8D6C48"/>
    <w:rsid w:val="4ACE1514"/>
    <w:rsid w:val="4ADA53D3"/>
    <w:rsid w:val="4B363BC4"/>
    <w:rsid w:val="4B3C5B13"/>
    <w:rsid w:val="4B422B4C"/>
    <w:rsid w:val="4BBC7A0D"/>
    <w:rsid w:val="4BFF1AA2"/>
    <w:rsid w:val="4C744CEA"/>
    <w:rsid w:val="4CE4275C"/>
    <w:rsid w:val="4D22019C"/>
    <w:rsid w:val="4D34440E"/>
    <w:rsid w:val="4DF26AA4"/>
    <w:rsid w:val="4E460084"/>
    <w:rsid w:val="4E4730C2"/>
    <w:rsid w:val="4EA21776"/>
    <w:rsid w:val="4EF855BC"/>
    <w:rsid w:val="4F286D5C"/>
    <w:rsid w:val="4F3100F4"/>
    <w:rsid w:val="4FD9795D"/>
    <w:rsid w:val="50444002"/>
    <w:rsid w:val="504A17DC"/>
    <w:rsid w:val="508C4854"/>
    <w:rsid w:val="508D72A0"/>
    <w:rsid w:val="50C41000"/>
    <w:rsid w:val="50CC3654"/>
    <w:rsid w:val="511A0F92"/>
    <w:rsid w:val="51204A85"/>
    <w:rsid w:val="517A7EF0"/>
    <w:rsid w:val="51CA5684"/>
    <w:rsid w:val="52476A4F"/>
    <w:rsid w:val="52A80052"/>
    <w:rsid w:val="52BB3512"/>
    <w:rsid w:val="53917C17"/>
    <w:rsid w:val="53E82531"/>
    <w:rsid w:val="542404B9"/>
    <w:rsid w:val="5431233A"/>
    <w:rsid w:val="54436A02"/>
    <w:rsid w:val="54862934"/>
    <w:rsid w:val="54D95DA7"/>
    <w:rsid w:val="555A0C79"/>
    <w:rsid w:val="567270F1"/>
    <w:rsid w:val="56731619"/>
    <w:rsid w:val="56850E11"/>
    <w:rsid w:val="56C57866"/>
    <w:rsid w:val="57194738"/>
    <w:rsid w:val="578000D1"/>
    <w:rsid w:val="57823472"/>
    <w:rsid w:val="57865492"/>
    <w:rsid w:val="57FA2673"/>
    <w:rsid w:val="582A4F27"/>
    <w:rsid w:val="583B2F8B"/>
    <w:rsid w:val="585E0F58"/>
    <w:rsid w:val="58B44F93"/>
    <w:rsid w:val="58DC1D94"/>
    <w:rsid w:val="58E17240"/>
    <w:rsid w:val="59AA533B"/>
    <w:rsid w:val="59CE5430"/>
    <w:rsid w:val="5A01149C"/>
    <w:rsid w:val="5A0A62B5"/>
    <w:rsid w:val="5A215CD2"/>
    <w:rsid w:val="5A465294"/>
    <w:rsid w:val="5A8A481C"/>
    <w:rsid w:val="5AC04225"/>
    <w:rsid w:val="5AD65E48"/>
    <w:rsid w:val="5AE929D8"/>
    <w:rsid w:val="5B0B14AE"/>
    <w:rsid w:val="5B344CD0"/>
    <w:rsid w:val="5B6E0FA5"/>
    <w:rsid w:val="5B8953E1"/>
    <w:rsid w:val="5BE0625F"/>
    <w:rsid w:val="5BF2617F"/>
    <w:rsid w:val="5C0C094D"/>
    <w:rsid w:val="5C6D23E3"/>
    <w:rsid w:val="5C917A56"/>
    <w:rsid w:val="5C936A1C"/>
    <w:rsid w:val="5CB41849"/>
    <w:rsid w:val="5D185F3D"/>
    <w:rsid w:val="5D2A1430"/>
    <w:rsid w:val="5DDA3376"/>
    <w:rsid w:val="5DF855F8"/>
    <w:rsid w:val="5E091238"/>
    <w:rsid w:val="5E166067"/>
    <w:rsid w:val="5E287F7A"/>
    <w:rsid w:val="5E3C3150"/>
    <w:rsid w:val="5E44155F"/>
    <w:rsid w:val="5E6332E6"/>
    <w:rsid w:val="5E7B0F42"/>
    <w:rsid w:val="5E9C6DCD"/>
    <w:rsid w:val="5E9F255E"/>
    <w:rsid w:val="5EE676EF"/>
    <w:rsid w:val="5F744B0C"/>
    <w:rsid w:val="5F781B0A"/>
    <w:rsid w:val="5FA94633"/>
    <w:rsid w:val="5FAE7C49"/>
    <w:rsid w:val="600A3130"/>
    <w:rsid w:val="60385E58"/>
    <w:rsid w:val="60902B69"/>
    <w:rsid w:val="60990574"/>
    <w:rsid w:val="60D776C0"/>
    <w:rsid w:val="61663B46"/>
    <w:rsid w:val="62001247"/>
    <w:rsid w:val="622478DF"/>
    <w:rsid w:val="62AF33BC"/>
    <w:rsid w:val="62F92530"/>
    <w:rsid w:val="6306794D"/>
    <w:rsid w:val="630D33A2"/>
    <w:rsid w:val="63772DC0"/>
    <w:rsid w:val="637D21FF"/>
    <w:rsid w:val="63A50A3A"/>
    <w:rsid w:val="64296892"/>
    <w:rsid w:val="64BC6A9E"/>
    <w:rsid w:val="64E13BD9"/>
    <w:rsid w:val="65094C2F"/>
    <w:rsid w:val="650B4382"/>
    <w:rsid w:val="654263B4"/>
    <w:rsid w:val="65520A0B"/>
    <w:rsid w:val="65750562"/>
    <w:rsid w:val="65877D0C"/>
    <w:rsid w:val="659B4958"/>
    <w:rsid w:val="65A92E88"/>
    <w:rsid w:val="65C23997"/>
    <w:rsid w:val="65F21201"/>
    <w:rsid w:val="66161E5B"/>
    <w:rsid w:val="66C01DF7"/>
    <w:rsid w:val="675C4BDB"/>
    <w:rsid w:val="676B7948"/>
    <w:rsid w:val="683A6357"/>
    <w:rsid w:val="68783D6D"/>
    <w:rsid w:val="6942281D"/>
    <w:rsid w:val="69436C43"/>
    <w:rsid w:val="69723524"/>
    <w:rsid w:val="69863BF7"/>
    <w:rsid w:val="699626A1"/>
    <w:rsid w:val="69EC5E6D"/>
    <w:rsid w:val="6AC01BDC"/>
    <w:rsid w:val="6AD72D82"/>
    <w:rsid w:val="6AD7516C"/>
    <w:rsid w:val="6B3160CE"/>
    <w:rsid w:val="6B435DB8"/>
    <w:rsid w:val="6B7E321F"/>
    <w:rsid w:val="6BE0190F"/>
    <w:rsid w:val="6C1B2F56"/>
    <w:rsid w:val="6C2B4CDA"/>
    <w:rsid w:val="6C335721"/>
    <w:rsid w:val="6CBE1194"/>
    <w:rsid w:val="6CD076C8"/>
    <w:rsid w:val="6D1C17FE"/>
    <w:rsid w:val="6D1F1ACA"/>
    <w:rsid w:val="6D266C47"/>
    <w:rsid w:val="6D464AF3"/>
    <w:rsid w:val="6D624D48"/>
    <w:rsid w:val="6DAD6D99"/>
    <w:rsid w:val="6DD765C4"/>
    <w:rsid w:val="6DE86FDB"/>
    <w:rsid w:val="6E001A9C"/>
    <w:rsid w:val="6E640EEC"/>
    <w:rsid w:val="6F13646F"/>
    <w:rsid w:val="6F752823"/>
    <w:rsid w:val="6FBB37F3"/>
    <w:rsid w:val="6FC10B66"/>
    <w:rsid w:val="70165570"/>
    <w:rsid w:val="701E3395"/>
    <w:rsid w:val="70363C6A"/>
    <w:rsid w:val="70A654EA"/>
    <w:rsid w:val="70B05132"/>
    <w:rsid w:val="70F41806"/>
    <w:rsid w:val="70F9380A"/>
    <w:rsid w:val="710243A6"/>
    <w:rsid w:val="71027AC3"/>
    <w:rsid w:val="71620757"/>
    <w:rsid w:val="71726C11"/>
    <w:rsid w:val="71746506"/>
    <w:rsid w:val="71BE145F"/>
    <w:rsid w:val="72231E14"/>
    <w:rsid w:val="728E00C1"/>
    <w:rsid w:val="72C904D6"/>
    <w:rsid w:val="72CC3877"/>
    <w:rsid w:val="72F42E8A"/>
    <w:rsid w:val="73782F71"/>
    <w:rsid w:val="73F2025F"/>
    <w:rsid w:val="74263871"/>
    <w:rsid w:val="747E5A05"/>
    <w:rsid w:val="74A04920"/>
    <w:rsid w:val="74AD4123"/>
    <w:rsid w:val="74E84537"/>
    <w:rsid w:val="75351E05"/>
    <w:rsid w:val="753C5DA0"/>
    <w:rsid w:val="75DE5969"/>
    <w:rsid w:val="762C4167"/>
    <w:rsid w:val="76462320"/>
    <w:rsid w:val="769663B4"/>
    <w:rsid w:val="76FD2174"/>
    <w:rsid w:val="7797361E"/>
    <w:rsid w:val="77FE3AE4"/>
    <w:rsid w:val="78932EA1"/>
    <w:rsid w:val="78D65105"/>
    <w:rsid w:val="78E2715E"/>
    <w:rsid w:val="78EF243C"/>
    <w:rsid w:val="79194E76"/>
    <w:rsid w:val="79291D23"/>
    <w:rsid w:val="79882EC2"/>
    <w:rsid w:val="79E51DD6"/>
    <w:rsid w:val="79E943A3"/>
    <w:rsid w:val="7A15194C"/>
    <w:rsid w:val="7A450172"/>
    <w:rsid w:val="7A645FE9"/>
    <w:rsid w:val="7A8A052B"/>
    <w:rsid w:val="7AE100EC"/>
    <w:rsid w:val="7B121FE5"/>
    <w:rsid w:val="7B7518DF"/>
    <w:rsid w:val="7BBF55A0"/>
    <w:rsid w:val="7BDB64D8"/>
    <w:rsid w:val="7BF91999"/>
    <w:rsid w:val="7C3D3700"/>
    <w:rsid w:val="7C8827FA"/>
    <w:rsid w:val="7CE0523B"/>
    <w:rsid w:val="7D205FC7"/>
    <w:rsid w:val="7D3B690E"/>
    <w:rsid w:val="7D4D66DB"/>
    <w:rsid w:val="7D86700F"/>
    <w:rsid w:val="7D975BBD"/>
    <w:rsid w:val="7DAA6C08"/>
    <w:rsid w:val="7DDC735D"/>
    <w:rsid w:val="7DEA1B6F"/>
    <w:rsid w:val="7E0D461D"/>
    <w:rsid w:val="7E661A0C"/>
    <w:rsid w:val="7F3343B1"/>
    <w:rsid w:val="7F6049BF"/>
    <w:rsid w:val="7FA05871"/>
    <w:rsid w:val="7FEF0B6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qFormat="1" w:unhideWhenUsed="0" w:uiPriority="0"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7"/>
    <w:qFormat/>
    <w:uiPriority w:val="9"/>
    <w:pPr>
      <w:keepNext/>
      <w:keepLines/>
      <w:spacing w:beforeLines="50" w:afterLines="50" w:line="520" w:lineRule="exact"/>
      <w:outlineLvl w:val="0"/>
    </w:pPr>
    <w:rPr>
      <w:rFonts w:ascii="Times New Roman" w:hAnsi="Times New Roman"/>
      <w:b/>
      <w:bCs/>
      <w:kern w:val="44"/>
      <w:sz w:val="32"/>
      <w:szCs w:val="44"/>
    </w:rPr>
  </w:style>
  <w:style w:type="paragraph" w:styleId="4">
    <w:name w:val="heading 2"/>
    <w:basedOn w:val="1"/>
    <w:next w:val="1"/>
    <w:link w:val="38"/>
    <w:unhideWhenUsed/>
    <w:qFormat/>
    <w:uiPriority w:val="9"/>
    <w:pPr>
      <w:keepNext/>
      <w:keepLines/>
      <w:spacing w:before="260" w:after="260" w:line="416" w:lineRule="auto"/>
      <w:outlineLvl w:val="1"/>
    </w:pPr>
    <w:rPr>
      <w:rFonts w:asciiTheme="majorHAnsi" w:hAnsiTheme="majorHAnsi" w:eastAsiaTheme="majorEastAsia" w:cstheme="majorBidi"/>
      <w:b/>
      <w:bCs/>
      <w:sz w:val="30"/>
      <w:szCs w:val="32"/>
    </w:rPr>
  </w:style>
  <w:style w:type="paragraph" w:styleId="5">
    <w:name w:val="heading 3"/>
    <w:basedOn w:val="1"/>
    <w:next w:val="1"/>
    <w:link w:val="39"/>
    <w:qFormat/>
    <w:uiPriority w:val="0"/>
    <w:pPr>
      <w:keepNext/>
      <w:keepLines/>
      <w:outlineLvl w:val="2"/>
    </w:pPr>
    <w:rPr>
      <w:rFonts w:ascii="Times New Roman" w:hAnsi="Times New Roman" w:eastAsia="宋体" w:cs="Times New Roman"/>
      <w:b/>
      <w:bCs/>
      <w:spacing w:val="10"/>
      <w:sz w:val="28"/>
      <w:szCs w:val="32"/>
    </w:rPr>
  </w:style>
  <w:style w:type="paragraph" w:styleId="2">
    <w:name w:val="heading 4"/>
    <w:basedOn w:val="1"/>
    <w:next w:val="1"/>
    <w:link w:val="40"/>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2">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43"/>
    <w:qFormat/>
    <w:uiPriority w:val="0"/>
    <w:pPr>
      <w:spacing w:line="500" w:lineRule="exact"/>
      <w:ind w:firstLine="200" w:firstLineChars="200"/>
    </w:pPr>
    <w:rPr>
      <w:rFonts w:ascii="宋体" w:hAnsi="Times New Roman" w:eastAsia="宋体" w:cs="Times New Roman"/>
      <w:sz w:val="28"/>
      <w:szCs w:val="20"/>
    </w:rPr>
  </w:style>
  <w:style w:type="paragraph" w:styleId="7">
    <w:name w:val="caption"/>
    <w:basedOn w:val="1"/>
    <w:next w:val="1"/>
    <w:link w:val="44"/>
    <w:qFormat/>
    <w:uiPriority w:val="0"/>
    <w:rPr>
      <w:rFonts w:ascii="Cambria" w:hAnsi="Cambria" w:eastAsia="黑体" w:cs="Times New Roman"/>
      <w:sz w:val="20"/>
      <w:szCs w:val="20"/>
    </w:rPr>
  </w:style>
  <w:style w:type="paragraph" w:styleId="8">
    <w:name w:val="annotation text"/>
    <w:basedOn w:val="1"/>
    <w:link w:val="41"/>
    <w:unhideWhenUsed/>
    <w:qFormat/>
    <w:uiPriority w:val="0"/>
    <w:pPr>
      <w:jc w:val="left"/>
    </w:pPr>
    <w:rPr>
      <w:szCs w:val="24"/>
    </w:rPr>
  </w:style>
  <w:style w:type="paragraph" w:styleId="9">
    <w:name w:val="Body Text"/>
    <w:basedOn w:val="1"/>
    <w:next w:val="1"/>
    <w:link w:val="45"/>
    <w:unhideWhenUsed/>
    <w:qFormat/>
    <w:uiPriority w:val="0"/>
    <w:pPr>
      <w:spacing w:after="120"/>
    </w:pPr>
  </w:style>
  <w:style w:type="paragraph" w:styleId="10">
    <w:name w:val="Body Text Indent"/>
    <w:basedOn w:val="1"/>
    <w:next w:val="11"/>
    <w:link w:val="46"/>
    <w:qFormat/>
    <w:uiPriority w:val="0"/>
    <w:pPr>
      <w:spacing w:after="120" w:line="360" w:lineRule="auto"/>
      <w:ind w:left="420" w:leftChars="200" w:firstLine="200" w:firstLineChars="200"/>
    </w:pPr>
    <w:rPr>
      <w:rFonts w:ascii="Times New Roman" w:hAnsi="Times New Roman" w:eastAsia="宋体" w:cs="Times New Roman"/>
      <w:sz w:val="24"/>
      <w:szCs w:val="24"/>
    </w:rPr>
  </w:style>
  <w:style w:type="paragraph" w:styleId="11">
    <w:name w:val="envelope return"/>
    <w:basedOn w:val="1"/>
    <w:qFormat/>
    <w:uiPriority w:val="0"/>
    <w:pPr>
      <w:tabs>
        <w:tab w:val="left" w:pos="180"/>
        <w:tab w:val="left" w:pos="360"/>
        <w:tab w:val="left" w:pos="540"/>
      </w:tabs>
      <w:snapToGrid w:val="0"/>
    </w:pPr>
    <w:rPr>
      <w:rFonts w:ascii="Arial" w:hAnsi="Arial"/>
    </w:rPr>
  </w:style>
  <w:style w:type="paragraph" w:styleId="12">
    <w:name w:val="toc 3"/>
    <w:basedOn w:val="1"/>
    <w:next w:val="1"/>
    <w:unhideWhenUsed/>
    <w:qFormat/>
    <w:uiPriority w:val="39"/>
    <w:pPr>
      <w:ind w:left="840" w:leftChars="400"/>
    </w:pPr>
  </w:style>
  <w:style w:type="paragraph" w:styleId="13">
    <w:name w:val="Plain Text"/>
    <w:basedOn w:val="1"/>
    <w:link w:val="47"/>
    <w:qFormat/>
    <w:uiPriority w:val="0"/>
    <w:pPr>
      <w:snapToGrid w:val="0"/>
      <w:spacing w:line="320" w:lineRule="atLeast"/>
    </w:pPr>
    <w:rPr>
      <w:rFonts w:ascii="宋体" w:hAnsi="Courier New" w:eastAsia="宋体" w:cs="Times New Roman"/>
      <w:szCs w:val="20"/>
    </w:rPr>
  </w:style>
  <w:style w:type="paragraph" w:styleId="14">
    <w:name w:val="Date"/>
    <w:basedOn w:val="1"/>
    <w:next w:val="1"/>
    <w:link w:val="48"/>
    <w:semiHidden/>
    <w:unhideWhenUsed/>
    <w:qFormat/>
    <w:uiPriority w:val="99"/>
    <w:pPr>
      <w:ind w:left="100" w:leftChars="2500"/>
    </w:pPr>
  </w:style>
  <w:style w:type="paragraph" w:styleId="15">
    <w:name w:val="Body Text Indent 2"/>
    <w:basedOn w:val="1"/>
    <w:link w:val="96"/>
    <w:qFormat/>
    <w:uiPriority w:val="0"/>
    <w:pPr>
      <w:widowControl/>
      <w:spacing w:after="120" w:line="480" w:lineRule="auto"/>
      <w:ind w:left="420" w:leftChars="200"/>
      <w:jc w:val="left"/>
    </w:pPr>
    <w:rPr>
      <w:kern w:val="0"/>
      <w:sz w:val="20"/>
      <w:szCs w:val="20"/>
    </w:rPr>
  </w:style>
  <w:style w:type="paragraph" w:styleId="16">
    <w:name w:val="Balloon Text"/>
    <w:basedOn w:val="1"/>
    <w:link w:val="49"/>
    <w:unhideWhenUsed/>
    <w:qFormat/>
    <w:uiPriority w:val="0"/>
    <w:rPr>
      <w:sz w:val="18"/>
      <w:szCs w:val="18"/>
    </w:rPr>
  </w:style>
  <w:style w:type="paragraph" w:styleId="17">
    <w:name w:val="footer"/>
    <w:basedOn w:val="1"/>
    <w:link w:val="50"/>
    <w:unhideWhenUsed/>
    <w:qFormat/>
    <w:uiPriority w:val="99"/>
    <w:pPr>
      <w:tabs>
        <w:tab w:val="center" w:pos="4153"/>
        <w:tab w:val="right" w:pos="8306"/>
      </w:tabs>
      <w:snapToGrid w:val="0"/>
      <w:jc w:val="left"/>
    </w:pPr>
    <w:rPr>
      <w:sz w:val="18"/>
      <w:szCs w:val="18"/>
    </w:rPr>
  </w:style>
  <w:style w:type="paragraph" w:styleId="18">
    <w:name w:val="header"/>
    <w:basedOn w:val="1"/>
    <w:link w:val="51"/>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style>
  <w:style w:type="paragraph" w:styleId="20">
    <w:name w:val="List"/>
    <w:basedOn w:val="1"/>
    <w:qFormat/>
    <w:uiPriority w:val="0"/>
    <w:pPr>
      <w:ind w:left="200" w:hanging="200" w:hangingChars="200"/>
      <w:contextualSpacing/>
    </w:pPr>
    <w:rPr>
      <w:rFonts w:ascii="Times New Roman" w:hAnsi="Times New Roman" w:eastAsia="宋体" w:cs="Times New Roman"/>
      <w:szCs w:val="20"/>
    </w:rPr>
  </w:style>
  <w:style w:type="paragraph" w:styleId="21">
    <w:name w:val="toc 2"/>
    <w:basedOn w:val="1"/>
    <w:next w:val="1"/>
    <w:unhideWhenUsed/>
    <w:qFormat/>
    <w:uiPriority w:val="39"/>
    <w:pPr>
      <w:ind w:left="420" w:leftChars="200"/>
    </w:pPr>
  </w:style>
  <w:style w:type="paragraph" w:styleId="22">
    <w:name w:val="Body Text 2"/>
    <w:basedOn w:val="1"/>
    <w:link w:val="52"/>
    <w:unhideWhenUsed/>
    <w:qFormat/>
    <w:uiPriority w:val="99"/>
    <w:pPr>
      <w:spacing w:after="120" w:line="480" w:lineRule="auto"/>
    </w:pPr>
  </w:style>
  <w:style w:type="paragraph" w:styleId="23">
    <w:name w:val="HTML Preformatted"/>
    <w:basedOn w:val="1"/>
    <w:link w:val="53"/>
    <w:unhideWhenUsed/>
    <w:qFormat/>
    <w:uiPriority w:val="99"/>
    <w:rPr>
      <w:rFonts w:ascii="Courier New" w:hAnsi="Courier New" w:cs="Courier New"/>
      <w:sz w:val="20"/>
      <w:szCs w:val="20"/>
    </w:rPr>
  </w:style>
  <w:style w:type="paragraph" w:styleId="24">
    <w:name w:val="Normal (Web)"/>
    <w:basedOn w:val="1"/>
    <w:link w:val="54"/>
    <w:unhideWhenUsed/>
    <w:qFormat/>
    <w:uiPriority w:val="99"/>
    <w:rPr>
      <w:rFonts w:ascii="Times New Roman" w:hAnsi="Times New Roman" w:eastAsia="宋体" w:cs="Times New Roman"/>
      <w:sz w:val="24"/>
      <w:szCs w:val="24"/>
    </w:rPr>
  </w:style>
  <w:style w:type="paragraph" w:styleId="25">
    <w:name w:val="Title"/>
    <w:basedOn w:val="1"/>
    <w:next w:val="1"/>
    <w:link w:val="55"/>
    <w:qFormat/>
    <w:uiPriority w:val="0"/>
    <w:pPr>
      <w:spacing w:before="240" w:after="60"/>
      <w:jc w:val="center"/>
      <w:outlineLvl w:val="0"/>
    </w:pPr>
    <w:rPr>
      <w:rFonts w:ascii="Cambria" w:hAnsi="Cambria" w:cs="Times New Roman"/>
      <w:b/>
      <w:bCs/>
      <w:sz w:val="32"/>
      <w:szCs w:val="32"/>
    </w:rPr>
  </w:style>
  <w:style w:type="paragraph" w:styleId="26">
    <w:name w:val="annotation subject"/>
    <w:basedOn w:val="8"/>
    <w:next w:val="8"/>
    <w:link w:val="42"/>
    <w:semiHidden/>
    <w:unhideWhenUsed/>
    <w:qFormat/>
    <w:uiPriority w:val="99"/>
    <w:rPr>
      <w:b/>
      <w:bCs/>
      <w:szCs w:val="22"/>
    </w:rPr>
  </w:style>
  <w:style w:type="paragraph" w:styleId="27">
    <w:name w:val="Body Text First Indent"/>
    <w:basedOn w:val="9"/>
    <w:link w:val="133"/>
    <w:semiHidden/>
    <w:unhideWhenUsed/>
    <w:qFormat/>
    <w:uiPriority w:val="99"/>
    <w:pPr>
      <w:ind w:firstLine="420" w:firstLineChars="100"/>
    </w:pPr>
  </w:style>
  <w:style w:type="paragraph" w:styleId="28">
    <w:name w:val="Body Text First Indent 2"/>
    <w:basedOn w:val="1"/>
    <w:next w:val="1"/>
    <w:link w:val="139"/>
    <w:semiHidden/>
    <w:unhideWhenUsed/>
    <w:qFormat/>
    <w:uiPriority w:val="99"/>
    <w:pPr>
      <w:spacing w:line="240" w:lineRule="auto"/>
      <w:ind w:firstLine="420"/>
    </w:pPr>
    <w:rPr>
      <w:rFonts w:asciiTheme="minorHAnsi" w:hAnsiTheme="minorHAnsi" w:eastAsiaTheme="minorEastAsia" w:cstheme="minorBidi"/>
      <w:sz w:val="21"/>
      <w:szCs w:val="22"/>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1">
    <w:name w:val="Table Columns 5"/>
    <w:basedOn w:val="29"/>
    <w:semiHidden/>
    <w:qFormat/>
    <w:uiPriority w:val="0"/>
    <w:pPr>
      <w:widowControl w:val="0"/>
      <w:spacing w:line="500" w:lineRule="exact"/>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character" w:styleId="33">
    <w:name w:val="Strong"/>
    <w:basedOn w:val="32"/>
    <w:qFormat/>
    <w:uiPriority w:val="22"/>
    <w:rPr>
      <w:b/>
      <w:bCs/>
    </w:rPr>
  </w:style>
  <w:style w:type="character" w:styleId="34">
    <w:name w:val="Hyperlink"/>
    <w:basedOn w:val="32"/>
    <w:qFormat/>
    <w:uiPriority w:val="99"/>
    <w:rPr>
      <w:color w:val="333333"/>
      <w:u w:val="none"/>
    </w:rPr>
  </w:style>
  <w:style w:type="character" w:styleId="35">
    <w:name w:val="annotation reference"/>
    <w:qFormat/>
    <w:uiPriority w:val="0"/>
    <w:rPr>
      <w:sz w:val="21"/>
      <w:szCs w:val="21"/>
    </w:rPr>
  </w:style>
  <w:style w:type="paragraph" w:customStyle="1" w:styleId="36">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37">
    <w:name w:val="标题 1 Char"/>
    <w:basedOn w:val="32"/>
    <w:link w:val="3"/>
    <w:qFormat/>
    <w:uiPriority w:val="9"/>
    <w:rPr>
      <w:rFonts w:eastAsiaTheme="minorEastAsia" w:cstheme="minorBidi"/>
      <w:b/>
      <w:bCs/>
      <w:kern w:val="44"/>
      <w:sz w:val="32"/>
      <w:szCs w:val="44"/>
    </w:rPr>
  </w:style>
  <w:style w:type="character" w:customStyle="1" w:styleId="38">
    <w:name w:val="标题 2 Char"/>
    <w:basedOn w:val="32"/>
    <w:link w:val="4"/>
    <w:qFormat/>
    <w:uiPriority w:val="9"/>
    <w:rPr>
      <w:rFonts w:asciiTheme="majorHAnsi" w:hAnsiTheme="majorHAnsi" w:eastAsiaTheme="majorEastAsia" w:cstheme="majorBidi"/>
      <w:b/>
      <w:bCs/>
      <w:kern w:val="2"/>
      <w:sz w:val="30"/>
      <w:szCs w:val="32"/>
    </w:rPr>
  </w:style>
  <w:style w:type="character" w:customStyle="1" w:styleId="39">
    <w:name w:val="标题 3 Char"/>
    <w:basedOn w:val="32"/>
    <w:link w:val="5"/>
    <w:qFormat/>
    <w:uiPriority w:val="0"/>
    <w:rPr>
      <w:b/>
      <w:bCs/>
      <w:spacing w:val="10"/>
      <w:kern w:val="2"/>
      <w:sz w:val="28"/>
      <w:szCs w:val="32"/>
    </w:rPr>
  </w:style>
  <w:style w:type="character" w:customStyle="1" w:styleId="40">
    <w:name w:val="标题 4 Char"/>
    <w:basedOn w:val="32"/>
    <w:link w:val="2"/>
    <w:semiHidden/>
    <w:qFormat/>
    <w:uiPriority w:val="9"/>
    <w:rPr>
      <w:rFonts w:asciiTheme="majorHAnsi" w:hAnsiTheme="majorHAnsi" w:eastAsiaTheme="majorEastAsia" w:cstheme="majorBidi"/>
      <w:b/>
      <w:bCs/>
      <w:kern w:val="2"/>
      <w:sz w:val="28"/>
      <w:szCs w:val="28"/>
    </w:rPr>
  </w:style>
  <w:style w:type="character" w:customStyle="1" w:styleId="41">
    <w:name w:val="批注文字 Char1"/>
    <w:basedOn w:val="32"/>
    <w:link w:val="8"/>
    <w:semiHidden/>
    <w:qFormat/>
    <w:uiPriority w:val="99"/>
  </w:style>
  <w:style w:type="character" w:customStyle="1" w:styleId="42">
    <w:name w:val="批注主题 Char"/>
    <w:basedOn w:val="41"/>
    <w:link w:val="26"/>
    <w:semiHidden/>
    <w:qFormat/>
    <w:uiPriority w:val="99"/>
    <w:rPr>
      <w:b/>
      <w:bCs/>
      <w:kern w:val="2"/>
      <w:sz w:val="21"/>
      <w:szCs w:val="22"/>
    </w:rPr>
  </w:style>
  <w:style w:type="character" w:customStyle="1" w:styleId="43">
    <w:name w:val="正文缩进 Char"/>
    <w:basedOn w:val="32"/>
    <w:link w:val="6"/>
    <w:qFormat/>
    <w:uiPriority w:val="0"/>
    <w:rPr>
      <w:rFonts w:ascii="宋体" w:hAnsi="Times New Roman" w:eastAsia="宋体" w:cs="Times New Roman"/>
      <w:kern w:val="2"/>
      <w:sz w:val="28"/>
    </w:rPr>
  </w:style>
  <w:style w:type="character" w:customStyle="1" w:styleId="44">
    <w:name w:val="题注 Char"/>
    <w:link w:val="7"/>
    <w:qFormat/>
    <w:uiPriority w:val="0"/>
    <w:rPr>
      <w:rFonts w:ascii="Cambria" w:hAnsi="Cambria" w:eastAsia="黑体" w:cs="Times New Roman"/>
      <w:kern w:val="2"/>
    </w:rPr>
  </w:style>
  <w:style w:type="character" w:customStyle="1" w:styleId="45">
    <w:name w:val="正文文本 Char"/>
    <w:basedOn w:val="32"/>
    <w:link w:val="9"/>
    <w:qFormat/>
    <w:uiPriority w:val="0"/>
  </w:style>
  <w:style w:type="character" w:customStyle="1" w:styleId="46">
    <w:name w:val="正文文本缩进 Char"/>
    <w:basedOn w:val="32"/>
    <w:link w:val="10"/>
    <w:qFormat/>
    <w:uiPriority w:val="0"/>
    <w:rPr>
      <w:rFonts w:ascii="Times New Roman" w:hAnsi="Times New Roman" w:eastAsia="宋体" w:cs="Times New Roman"/>
      <w:sz w:val="24"/>
      <w:szCs w:val="24"/>
    </w:rPr>
  </w:style>
  <w:style w:type="character" w:customStyle="1" w:styleId="47">
    <w:name w:val="纯文本 Char1"/>
    <w:basedOn w:val="32"/>
    <w:link w:val="13"/>
    <w:qFormat/>
    <w:uiPriority w:val="0"/>
    <w:rPr>
      <w:rFonts w:ascii="宋体" w:hAnsi="Courier New" w:eastAsia="宋体" w:cs="Times New Roman"/>
      <w:szCs w:val="20"/>
    </w:rPr>
  </w:style>
  <w:style w:type="character" w:customStyle="1" w:styleId="48">
    <w:name w:val="日期 Char"/>
    <w:basedOn w:val="32"/>
    <w:link w:val="14"/>
    <w:semiHidden/>
    <w:qFormat/>
    <w:uiPriority w:val="99"/>
    <w:rPr>
      <w:kern w:val="2"/>
      <w:sz w:val="21"/>
      <w:szCs w:val="22"/>
    </w:rPr>
  </w:style>
  <w:style w:type="character" w:customStyle="1" w:styleId="49">
    <w:name w:val="批注框文本 Char"/>
    <w:basedOn w:val="32"/>
    <w:link w:val="16"/>
    <w:semiHidden/>
    <w:qFormat/>
    <w:uiPriority w:val="99"/>
    <w:rPr>
      <w:sz w:val="18"/>
      <w:szCs w:val="18"/>
    </w:rPr>
  </w:style>
  <w:style w:type="character" w:customStyle="1" w:styleId="50">
    <w:name w:val="页脚 Char"/>
    <w:basedOn w:val="32"/>
    <w:link w:val="17"/>
    <w:qFormat/>
    <w:uiPriority w:val="99"/>
    <w:rPr>
      <w:sz w:val="18"/>
      <w:szCs w:val="18"/>
    </w:rPr>
  </w:style>
  <w:style w:type="character" w:customStyle="1" w:styleId="51">
    <w:name w:val="页眉 Char"/>
    <w:basedOn w:val="32"/>
    <w:link w:val="18"/>
    <w:qFormat/>
    <w:uiPriority w:val="99"/>
    <w:rPr>
      <w:sz w:val="18"/>
      <w:szCs w:val="18"/>
    </w:rPr>
  </w:style>
  <w:style w:type="character" w:customStyle="1" w:styleId="52">
    <w:name w:val="正文文本 2 Char"/>
    <w:basedOn w:val="32"/>
    <w:link w:val="22"/>
    <w:qFormat/>
    <w:uiPriority w:val="99"/>
    <w:rPr>
      <w:kern w:val="2"/>
      <w:sz w:val="21"/>
      <w:szCs w:val="22"/>
    </w:rPr>
  </w:style>
  <w:style w:type="character" w:customStyle="1" w:styleId="53">
    <w:name w:val="HTML 预设格式 Char"/>
    <w:basedOn w:val="32"/>
    <w:link w:val="23"/>
    <w:qFormat/>
    <w:uiPriority w:val="99"/>
    <w:rPr>
      <w:rFonts w:ascii="Courier New" w:hAnsi="Courier New" w:cs="Courier New"/>
      <w:kern w:val="2"/>
    </w:rPr>
  </w:style>
  <w:style w:type="character" w:customStyle="1" w:styleId="54">
    <w:name w:val="普通(网站) Char"/>
    <w:link w:val="24"/>
    <w:qFormat/>
    <w:uiPriority w:val="99"/>
    <w:rPr>
      <w:rFonts w:ascii="Times New Roman" w:hAnsi="Times New Roman" w:eastAsia="宋体" w:cs="Times New Roman"/>
      <w:kern w:val="2"/>
      <w:sz w:val="24"/>
      <w:szCs w:val="24"/>
    </w:rPr>
  </w:style>
  <w:style w:type="character" w:customStyle="1" w:styleId="55">
    <w:name w:val="标题 Char1"/>
    <w:basedOn w:val="32"/>
    <w:link w:val="25"/>
    <w:qFormat/>
    <w:uiPriority w:val="10"/>
    <w:rPr>
      <w:rFonts w:eastAsia="宋体" w:asciiTheme="majorHAnsi" w:hAnsiTheme="majorHAnsi" w:cstheme="majorBidi"/>
      <w:b/>
      <w:bCs/>
      <w:sz w:val="32"/>
      <w:szCs w:val="32"/>
    </w:rPr>
  </w:style>
  <w:style w:type="character" w:customStyle="1" w:styleId="56">
    <w:name w:val="纯文本 Char"/>
    <w:basedOn w:val="32"/>
    <w:qFormat/>
    <w:uiPriority w:val="0"/>
    <w:rPr>
      <w:rFonts w:ascii="宋体" w:hAnsi="Courier New" w:eastAsia="宋体" w:cs="Courier New"/>
      <w:szCs w:val="21"/>
    </w:rPr>
  </w:style>
  <w:style w:type="paragraph" w:customStyle="1" w:styleId="57">
    <w:name w:val="新表"/>
    <w:basedOn w:val="1"/>
    <w:qFormat/>
    <w:uiPriority w:val="0"/>
    <w:pPr>
      <w:spacing w:line="360" w:lineRule="exact"/>
    </w:pPr>
    <w:rPr>
      <w:rFonts w:ascii="Times New Roman" w:hAnsi="Times New Roman" w:eastAsia="FangSong_GB2312" w:cs="Times New Roman"/>
      <w:bCs/>
      <w:kern w:val="0"/>
      <w:sz w:val="24"/>
      <w:szCs w:val="20"/>
    </w:rPr>
  </w:style>
  <w:style w:type="paragraph" w:customStyle="1" w:styleId="58">
    <w:name w:val="表格文字"/>
    <w:basedOn w:val="1"/>
    <w:next w:val="13"/>
    <w:link w:val="59"/>
    <w:qFormat/>
    <w:uiPriority w:val="0"/>
    <w:pPr>
      <w:widowControl/>
      <w:jc w:val="left"/>
    </w:pPr>
    <w:rPr>
      <w:rFonts w:ascii="宋体" w:hAnsi="Courier New" w:eastAsia="宋体" w:cs="Times New Roman"/>
      <w:kern w:val="0"/>
      <w:sz w:val="24"/>
      <w:szCs w:val="20"/>
    </w:rPr>
  </w:style>
  <w:style w:type="character" w:customStyle="1" w:styleId="59">
    <w:name w:val="表格文字 Char"/>
    <w:link w:val="58"/>
    <w:qFormat/>
    <w:uiPriority w:val="0"/>
    <w:rPr>
      <w:rFonts w:ascii="宋体" w:hAnsi="Courier New" w:eastAsia="宋体" w:cs="Times New Roman"/>
      <w:kern w:val="0"/>
      <w:sz w:val="24"/>
      <w:szCs w:val="20"/>
    </w:rPr>
  </w:style>
  <w:style w:type="paragraph" w:customStyle="1" w:styleId="60">
    <w:name w:val="五号表格"/>
    <w:next w:val="1"/>
    <w:qFormat/>
    <w:uiPriority w:val="0"/>
    <w:pPr>
      <w:widowControl w:val="0"/>
      <w:spacing w:line="360" w:lineRule="auto"/>
      <w:ind w:firstLine="200" w:firstLineChars="200"/>
      <w:jc w:val="center"/>
    </w:pPr>
    <w:rPr>
      <w:rFonts w:ascii="Times New Roman" w:hAnsi="Times New Roman" w:eastAsia="宋体" w:cs="Times New Roman"/>
      <w:color w:val="000000"/>
      <w:spacing w:val="10"/>
      <w:kern w:val="2"/>
      <w:sz w:val="21"/>
      <w:szCs w:val="24"/>
      <w:lang w:val="en-GB" w:eastAsia="zh-CN" w:bidi="ar-SA"/>
    </w:rPr>
  </w:style>
  <w:style w:type="character" w:customStyle="1" w:styleId="61">
    <w:name w:val="标题 Char"/>
    <w:basedOn w:val="32"/>
    <w:qFormat/>
    <w:uiPriority w:val="0"/>
    <w:rPr>
      <w:rFonts w:ascii="Cambria" w:hAnsi="Cambria" w:cs="Times New Roman"/>
      <w:b/>
      <w:bCs/>
      <w:sz w:val="32"/>
      <w:szCs w:val="32"/>
    </w:rPr>
  </w:style>
  <w:style w:type="paragraph" w:styleId="62">
    <w:name w:val="List Paragraph"/>
    <w:basedOn w:val="1"/>
    <w:qFormat/>
    <w:uiPriority w:val="34"/>
    <w:pPr>
      <w:ind w:firstLine="420" w:firstLineChars="200"/>
    </w:pPr>
  </w:style>
  <w:style w:type="paragraph" w:customStyle="1" w:styleId="63">
    <w:name w:val="A正文"/>
    <w:basedOn w:val="1"/>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64">
    <w:name w:val="批注文字 Char"/>
    <w:qFormat/>
    <w:uiPriority w:val="0"/>
    <w:rPr>
      <w:szCs w:val="24"/>
    </w:rPr>
  </w:style>
  <w:style w:type="character" w:customStyle="1" w:styleId="65">
    <w:name w:val="表体 Char"/>
    <w:link w:val="66"/>
    <w:qFormat/>
    <w:uiPriority w:val="0"/>
    <w:rPr>
      <w:color w:val="000080"/>
      <w:szCs w:val="24"/>
    </w:rPr>
  </w:style>
  <w:style w:type="paragraph" w:customStyle="1" w:styleId="66">
    <w:name w:val="表体"/>
    <w:basedOn w:val="1"/>
    <w:link w:val="65"/>
    <w:qFormat/>
    <w:uiPriority w:val="0"/>
    <w:pPr>
      <w:spacing w:before="40" w:after="40"/>
      <w:jc w:val="center"/>
    </w:pPr>
    <w:rPr>
      <w:color w:val="000080"/>
      <w:szCs w:val="24"/>
    </w:rPr>
  </w:style>
  <w:style w:type="character" w:customStyle="1" w:styleId="67">
    <w:name w:val="纯文本 Char2"/>
    <w:basedOn w:val="32"/>
    <w:qFormat/>
    <w:uiPriority w:val="0"/>
    <w:rPr>
      <w:rFonts w:ascii="宋体" w:hAnsi="Courier New" w:eastAsia="宋体"/>
      <w:kern w:val="2"/>
      <w:sz w:val="21"/>
      <w:lang w:val="en-US" w:eastAsia="zh-CN" w:bidi="ar-SA"/>
    </w:rPr>
  </w:style>
  <w:style w:type="character" w:customStyle="1" w:styleId="68">
    <w:name w:val="h Char"/>
    <w:qFormat/>
    <w:uiPriority w:val="0"/>
    <w:rPr>
      <w:rFonts w:eastAsia="宋体"/>
      <w:kern w:val="2"/>
      <w:sz w:val="18"/>
      <w:szCs w:val="18"/>
      <w:lang w:val="en-US" w:eastAsia="zh-CN" w:bidi="ar-SA"/>
    </w:rPr>
  </w:style>
  <w:style w:type="paragraph" w:customStyle="1" w:styleId="69">
    <w:name w:val="TOC 标题1"/>
    <w:basedOn w:val="3"/>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paragraph" w:customStyle="1" w:styleId="70">
    <w:name w:val="Char1"/>
    <w:basedOn w:val="1"/>
    <w:qFormat/>
    <w:uiPriority w:val="0"/>
    <w:rPr>
      <w:rFonts w:ascii="Times New Roman" w:hAnsi="Times New Roman" w:eastAsia="宋体" w:cs="Times New Roman"/>
      <w:sz w:val="28"/>
      <w:szCs w:val="20"/>
    </w:rPr>
  </w:style>
  <w:style w:type="paragraph" w:customStyle="1" w:styleId="71">
    <w:name w:val="报告表格"/>
    <w:basedOn w:val="1"/>
    <w:qFormat/>
    <w:uiPriority w:val="0"/>
    <w:pPr>
      <w:autoSpaceDE w:val="0"/>
      <w:autoSpaceDN w:val="0"/>
      <w:adjustRightInd w:val="0"/>
      <w:spacing w:before="40" w:after="40"/>
      <w:jc w:val="center"/>
      <w:textAlignment w:val="bottom"/>
    </w:pPr>
    <w:rPr>
      <w:rFonts w:ascii="Times New Roman" w:hAnsi="Times New Roman" w:eastAsia="宋体" w:cs="Times New Roman"/>
      <w:kern w:val="0"/>
      <w:szCs w:val="20"/>
    </w:rPr>
  </w:style>
  <w:style w:type="character" w:customStyle="1" w:styleId="72">
    <w:name w:val="fontstyle01"/>
    <w:basedOn w:val="32"/>
    <w:qFormat/>
    <w:uiPriority w:val="0"/>
    <w:rPr>
      <w:rFonts w:hint="eastAsia" w:ascii="宋体" w:hAnsi="宋体" w:eastAsia="宋体"/>
      <w:color w:val="000000"/>
      <w:sz w:val="24"/>
      <w:szCs w:val="24"/>
    </w:rPr>
  </w:style>
  <w:style w:type="character" w:customStyle="1" w:styleId="73">
    <w:name w:val="fontstyle11"/>
    <w:basedOn w:val="32"/>
    <w:qFormat/>
    <w:uiPriority w:val="0"/>
    <w:rPr>
      <w:rFonts w:hint="default" w:ascii="TimesNewRomanPSMT" w:hAnsi="TimesNewRomanPSMT"/>
      <w:color w:val="000000"/>
      <w:sz w:val="24"/>
      <w:szCs w:val="24"/>
    </w:rPr>
  </w:style>
  <w:style w:type="table" w:customStyle="1" w:styleId="74">
    <w:name w:val="样式1"/>
    <w:basedOn w:val="29"/>
    <w:qFormat/>
    <w:uiPriority w:val="99"/>
    <w:tblPr>
      <w:tblBorders>
        <w:top w:val="double" w:color="auto" w:sz="4" w:space="0"/>
        <w:bottom w:val="doub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5">
    <w:name w:val="TOC 标题2"/>
    <w:basedOn w:val="3"/>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paragraph" w:customStyle="1" w:styleId="76">
    <w:name w:val="表格"/>
    <w:basedOn w:val="1"/>
    <w:link w:val="108"/>
    <w:qFormat/>
    <w:uiPriority w:val="0"/>
    <w:pPr>
      <w:adjustRightInd w:val="0"/>
      <w:snapToGrid w:val="0"/>
      <w:spacing w:line="240" w:lineRule="atLeast"/>
      <w:jc w:val="center"/>
    </w:pPr>
    <w:rPr>
      <w:rFonts w:ascii="Times New Roman" w:hAnsi="Times New Roman" w:eastAsia="FangSong_GB2312" w:cs="Times New Roman"/>
      <w:szCs w:val="20"/>
    </w:rPr>
  </w:style>
  <w:style w:type="paragraph" w:customStyle="1" w:styleId="77">
    <w:name w:val="本文正文"/>
    <w:basedOn w:val="1"/>
    <w:qFormat/>
    <w:uiPriority w:val="0"/>
    <w:pPr>
      <w:autoSpaceDE w:val="0"/>
      <w:autoSpaceDN w:val="0"/>
      <w:adjustRightInd w:val="0"/>
      <w:spacing w:line="300" w:lineRule="auto"/>
      <w:ind w:firstLine="560" w:firstLineChars="200"/>
      <w:textAlignment w:val="baseline"/>
    </w:pPr>
    <w:rPr>
      <w:rFonts w:ascii="Times New Roman" w:hAnsi="Times New Roman" w:eastAsia="宋体" w:cs="Times New Roman"/>
      <w:sz w:val="28"/>
      <w:szCs w:val="20"/>
    </w:rPr>
  </w:style>
  <w:style w:type="paragraph" w:customStyle="1" w:styleId="78">
    <w:name w:val="表内字体"/>
    <w:basedOn w:val="1"/>
    <w:qFormat/>
    <w:uiPriority w:val="0"/>
    <w:pPr>
      <w:jc w:val="center"/>
    </w:pPr>
    <w:rPr>
      <w:rFonts w:ascii="Times New Roman" w:hAnsi="Times New Roman" w:eastAsia="FangSong_GB2312" w:cs="Times New Roman"/>
      <w:sz w:val="28"/>
      <w:szCs w:val="20"/>
    </w:rPr>
  </w:style>
  <w:style w:type="table" w:customStyle="1" w:styleId="79">
    <w:name w:val="网格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0">
    <w:name w:val="正文文本 (2)_"/>
    <w:basedOn w:val="32"/>
    <w:link w:val="81"/>
    <w:qFormat/>
    <w:uiPriority w:val="99"/>
    <w:rPr>
      <w:rFonts w:ascii="微软雅黑" w:eastAsia="微软雅黑" w:cs="微软雅黑"/>
      <w:spacing w:val="30"/>
      <w:sz w:val="26"/>
      <w:szCs w:val="26"/>
      <w:shd w:val="clear" w:color="auto" w:fill="FFFFFF"/>
    </w:rPr>
  </w:style>
  <w:style w:type="paragraph" w:customStyle="1" w:styleId="81">
    <w:name w:val="正文文本 (2)"/>
    <w:basedOn w:val="1"/>
    <w:link w:val="80"/>
    <w:qFormat/>
    <w:uiPriority w:val="99"/>
    <w:pPr>
      <w:shd w:val="clear" w:color="auto" w:fill="FFFFFF"/>
      <w:spacing w:after="360" w:line="240" w:lineRule="atLeast"/>
      <w:jc w:val="left"/>
    </w:pPr>
    <w:rPr>
      <w:rFonts w:ascii="微软雅黑" w:eastAsia="微软雅黑" w:cs="微软雅黑"/>
      <w:spacing w:val="30"/>
      <w:kern w:val="0"/>
      <w:sz w:val="26"/>
      <w:szCs w:val="26"/>
    </w:rPr>
  </w:style>
  <w:style w:type="character" w:customStyle="1" w:styleId="82">
    <w:name w:val="正文文本 (2) + 11 pt"/>
    <w:basedOn w:val="80"/>
    <w:qFormat/>
    <w:uiPriority w:val="99"/>
    <w:rPr>
      <w:rFonts w:ascii="微软雅黑" w:eastAsia="微软雅黑" w:cs="微软雅黑"/>
      <w:spacing w:val="0"/>
      <w:sz w:val="22"/>
      <w:szCs w:val="22"/>
      <w:shd w:val="clear" w:color="auto" w:fill="FFFFFF"/>
    </w:rPr>
  </w:style>
  <w:style w:type="character" w:customStyle="1" w:styleId="83">
    <w:name w:val="正文文本 (2) + SimHei"/>
    <w:basedOn w:val="80"/>
    <w:qFormat/>
    <w:uiPriority w:val="99"/>
    <w:rPr>
      <w:rFonts w:ascii="黑体" w:hAnsi="黑体" w:eastAsia="微软雅黑" w:cs="黑体"/>
      <w:spacing w:val="0"/>
      <w:w w:val="100"/>
      <w:sz w:val="28"/>
      <w:szCs w:val="28"/>
      <w:u w:val="none"/>
      <w:shd w:val="clear" w:color="auto" w:fill="FFFFFF"/>
      <w:lang w:val="en-US" w:eastAsia="en-US"/>
    </w:rPr>
  </w:style>
  <w:style w:type="character" w:customStyle="1" w:styleId="84">
    <w:name w:val="正文文本 (2) + 间距 3 pt"/>
    <w:basedOn w:val="80"/>
    <w:qFormat/>
    <w:uiPriority w:val="99"/>
    <w:rPr>
      <w:rFonts w:ascii="微软雅黑" w:eastAsia="微软雅黑" w:cs="微软雅黑"/>
      <w:spacing w:val="60"/>
      <w:sz w:val="26"/>
      <w:szCs w:val="26"/>
      <w:u w:val="none"/>
      <w:shd w:val="clear" w:color="auto" w:fill="FFFFFF"/>
    </w:rPr>
  </w:style>
  <w:style w:type="paragraph" w:customStyle="1" w:styleId="85">
    <w:name w:val="标题二二"/>
    <w:basedOn w:val="1"/>
    <w:next w:val="1"/>
    <w:link w:val="86"/>
    <w:qFormat/>
    <w:uiPriority w:val="0"/>
    <w:pPr>
      <w:adjustRightInd w:val="0"/>
      <w:snapToGrid w:val="0"/>
      <w:spacing w:before="360" w:after="360" w:line="360" w:lineRule="auto"/>
      <w:jc w:val="left"/>
      <w:outlineLvl w:val="1"/>
    </w:pPr>
    <w:rPr>
      <w:rFonts w:ascii="Times New Roman" w:hAnsi="Times New Roman" w:eastAsia="黑体"/>
      <w:sz w:val="32"/>
    </w:rPr>
  </w:style>
  <w:style w:type="character" w:customStyle="1" w:styleId="86">
    <w:name w:val="标题二二 Char"/>
    <w:basedOn w:val="32"/>
    <w:link w:val="85"/>
    <w:qFormat/>
    <w:uiPriority w:val="0"/>
    <w:rPr>
      <w:rFonts w:ascii="Times New Roman" w:hAnsi="Times New Roman" w:eastAsia="黑体"/>
      <w:kern w:val="2"/>
      <w:sz w:val="32"/>
      <w:szCs w:val="22"/>
    </w:rPr>
  </w:style>
  <w:style w:type="paragraph" w:customStyle="1" w:styleId="87">
    <w:name w:val="标题三三"/>
    <w:basedOn w:val="85"/>
    <w:next w:val="1"/>
    <w:link w:val="88"/>
    <w:qFormat/>
    <w:uiPriority w:val="0"/>
    <w:pPr>
      <w:spacing w:before="240" w:after="120"/>
      <w:outlineLvl w:val="2"/>
    </w:pPr>
    <w:rPr>
      <w:sz w:val="28"/>
    </w:rPr>
  </w:style>
  <w:style w:type="character" w:customStyle="1" w:styleId="88">
    <w:name w:val="标题三三 Char"/>
    <w:basedOn w:val="86"/>
    <w:link w:val="87"/>
    <w:qFormat/>
    <w:uiPriority w:val="0"/>
    <w:rPr>
      <w:rFonts w:ascii="Times New Roman" w:hAnsi="Times New Roman" w:eastAsia="黑体"/>
      <w:kern w:val="2"/>
      <w:sz w:val="28"/>
      <w:szCs w:val="22"/>
    </w:rPr>
  </w:style>
  <w:style w:type="paragraph" w:customStyle="1" w:styleId="89">
    <w:name w:val="样式 样式 样式 样式 样式 样式 正文 + 首行缩进:  2.25 字符 + 首行缩进:  2.25 字符 + 首行缩进:  ...1"/>
    <w:basedOn w:val="1"/>
    <w:qFormat/>
    <w:uiPriority w:val="0"/>
    <w:pPr>
      <w:spacing w:line="360" w:lineRule="auto"/>
      <w:ind w:firstLine="200" w:firstLineChars="200"/>
    </w:pPr>
    <w:rPr>
      <w:rFonts w:ascii="Times New Roman" w:hAnsi="Times New Roman" w:eastAsia="幼圆" w:cs="宋体"/>
      <w:spacing w:val="4"/>
      <w:sz w:val="24"/>
      <w:szCs w:val="20"/>
    </w:rPr>
  </w:style>
  <w:style w:type="paragraph" w:customStyle="1" w:styleId="90">
    <w:name w:val="表标题"/>
    <w:basedOn w:val="1"/>
    <w:link w:val="91"/>
    <w:qFormat/>
    <w:uiPriority w:val="0"/>
    <w:pPr>
      <w:keepNext/>
      <w:widowControl/>
      <w:tabs>
        <w:tab w:val="left" w:pos="3120"/>
      </w:tabs>
      <w:autoSpaceDE w:val="0"/>
      <w:autoSpaceDN w:val="0"/>
      <w:adjustRightInd w:val="0"/>
      <w:snapToGrid w:val="0"/>
      <w:spacing w:before="180" w:after="120" w:line="408" w:lineRule="atLeast"/>
      <w:ind w:firstLine="480" w:firstLineChars="200"/>
      <w:jc w:val="center"/>
      <w:textAlignment w:val="baseline"/>
    </w:pPr>
    <w:rPr>
      <w:rFonts w:ascii="宋体" w:hAnsi="宋体" w:eastAsia="楷体_GB2312" w:cs="Times New Roman"/>
      <w:b/>
      <w:bCs/>
      <w:snapToGrid w:val="0"/>
      <w:spacing w:val="2"/>
      <w:kern w:val="0"/>
      <w:sz w:val="24"/>
      <w:szCs w:val="28"/>
      <w:lang w:val="zh-CN"/>
    </w:rPr>
  </w:style>
  <w:style w:type="character" w:customStyle="1" w:styleId="91">
    <w:name w:val="表标题 Char"/>
    <w:link w:val="90"/>
    <w:qFormat/>
    <w:uiPriority w:val="0"/>
    <w:rPr>
      <w:rFonts w:ascii="宋体" w:hAnsi="宋体" w:eastAsia="楷体_GB2312" w:cs="Times New Roman"/>
      <w:b/>
      <w:bCs/>
      <w:snapToGrid w:val="0"/>
      <w:spacing w:val="2"/>
      <w:sz w:val="24"/>
      <w:szCs w:val="28"/>
      <w:lang w:val="zh-CN" w:eastAsia="zh-CN"/>
    </w:rPr>
  </w:style>
  <w:style w:type="paragraph" w:customStyle="1" w:styleId="92">
    <w:name w:val="Char Char Char1 Char"/>
    <w:basedOn w:val="1"/>
    <w:qFormat/>
    <w:uiPriority w:val="0"/>
    <w:rPr>
      <w:rFonts w:ascii="Calibri" w:hAnsi="Calibri" w:cs="Times New Roman"/>
      <w:szCs w:val="20"/>
    </w:rPr>
  </w:style>
  <w:style w:type="paragraph" w:customStyle="1" w:styleId="93">
    <w:name w:val="Char Char Char1 Char1"/>
    <w:basedOn w:val="1"/>
    <w:qFormat/>
    <w:uiPriority w:val="0"/>
    <w:rPr>
      <w:rFonts w:ascii="Calibri" w:hAnsi="Calibri" w:cs="Times New Roman"/>
      <w:szCs w:val="20"/>
    </w:rPr>
  </w:style>
  <w:style w:type="paragraph" w:customStyle="1" w:styleId="94">
    <w:name w:val="Char Char Char1 Char2"/>
    <w:basedOn w:val="1"/>
    <w:qFormat/>
    <w:uiPriority w:val="0"/>
    <w:rPr>
      <w:rFonts w:ascii="Calibri" w:hAnsi="Calibri" w:eastAsia="等线" w:cs="Times New Roman"/>
      <w:szCs w:val="20"/>
    </w:rPr>
  </w:style>
  <w:style w:type="paragraph" w:customStyle="1" w:styleId="95">
    <w:name w:val="纯文本1"/>
    <w:basedOn w:val="1"/>
    <w:qFormat/>
    <w:uiPriority w:val="0"/>
    <w:pPr>
      <w:spacing w:line="360" w:lineRule="auto"/>
    </w:pPr>
    <w:rPr>
      <w:rFonts w:ascii="Calibri" w:hAnsi="Calibri" w:eastAsia="等线" w:cs="Times New Roman"/>
      <w:sz w:val="24"/>
      <w:szCs w:val="21"/>
    </w:rPr>
  </w:style>
  <w:style w:type="character" w:customStyle="1" w:styleId="96">
    <w:name w:val="正文文本缩进 2 Char"/>
    <w:basedOn w:val="32"/>
    <w:link w:val="15"/>
    <w:qFormat/>
    <w:uiPriority w:val="0"/>
  </w:style>
  <w:style w:type="character" w:customStyle="1" w:styleId="97">
    <w:name w:val="正文文本缩进 2 字符"/>
    <w:basedOn w:val="32"/>
    <w:semiHidden/>
    <w:qFormat/>
    <w:uiPriority w:val="99"/>
    <w:rPr>
      <w:kern w:val="2"/>
      <w:sz w:val="21"/>
      <w:szCs w:val="22"/>
    </w:rPr>
  </w:style>
  <w:style w:type="paragraph" w:customStyle="1" w:styleId="98">
    <w:name w:val="_Style 11"/>
    <w:qFormat/>
    <w:uiPriority w:val="1"/>
    <w:pPr>
      <w:widowControl w:val="0"/>
      <w:jc w:val="both"/>
    </w:pPr>
    <w:rPr>
      <w:rFonts w:ascii="Calibri" w:hAnsi="Calibri" w:eastAsia="宋体" w:cs="Times New Roman"/>
      <w:kern w:val="2"/>
      <w:sz w:val="21"/>
      <w:szCs w:val="22"/>
      <w:lang w:val="en-US" w:eastAsia="zh-CN" w:bidi="ar-SA"/>
    </w:rPr>
  </w:style>
  <w:style w:type="paragraph" w:customStyle="1" w:styleId="99">
    <w:name w:val="Char Char Char1 Char3"/>
    <w:basedOn w:val="1"/>
    <w:qFormat/>
    <w:uiPriority w:val="0"/>
    <w:rPr>
      <w:rFonts w:ascii="Calibri" w:hAnsi="Calibri" w:eastAsia="等线" w:cs="Times New Roman"/>
      <w:szCs w:val="20"/>
    </w:rPr>
  </w:style>
  <w:style w:type="table" w:customStyle="1" w:styleId="100">
    <w:name w:val="表格类型1"/>
    <w:basedOn w:val="29"/>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1">
    <w:name w:val="Table Paragraph"/>
    <w:basedOn w:val="1"/>
    <w:qFormat/>
    <w:uiPriority w:val="1"/>
    <w:pPr>
      <w:jc w:val="left"/>
    </w:pPr>
    <w:rPr>
      <w:rFonts w:ascii="Calibri" w:hAnsi="Calibri" w:eastAsia="宋体" w:cs="Times New Roman"/>
      <w:kern w:val="0"/>
      <w:sz w:val="22"/>
      <w:lang w:eastAsia="en-US"/>
    </w:rPr>
  </w:style>
  <w:style w:type="paragraph" w:customStyle="1" w:styleId="102">
    <w:name w:val="样式 小四"/>
    <w:basedOn w:val="1"/>
    <w:qFormat/>
    <w:uiPriority w:val="0"/>
    <w:pPr>
      <w:spacing w:beforeLines="50" w:line="300" w:lineRule="auto"/>
      <w:ind w:firstLine="200" w:firstLineChars="200"/>
    </w:pPr>
    <w:rPr>
      <w:rFonts w:cs="宋体"/>
      <w:sz w:val="24"/>
      <w:szCs w:val="20"/>
    </w:rPr>
  </w:style>
  <w:style w:type="paragraph" w:customStyle="1" w:styleId="103">
    <w:name w:val="正文文本－5号字"/>
    <w:basedOn w:val="9"/>
    <w:qFormat/>
    <w:uiPriority w:val="0"/>
    <w:pPr>
      <w:spacing w:before="78" w:after="0" w:line="480" w:lineRule="exact"/>
      <w:ind w:firstLine="480" w:firstLineChars="200"/>
    </w:pPr>
    <w:rPr>
      <w:sz w:val="24"/>
    </w:rPr>
  </w:style>
  <w:style w:type="paragraph" w:customStyle="1" w:styleId="104">
    <w:name w:val="！正文"/>
    <w:qFormat/>
    <w:uiPriority w:val="0"/>
    <w:pPr>
      <w:widowControl w:val="0"/>
      <w:spacing w:line="520" w:lineRule="exact"/>
      <w:ind w:firstLine="200" w:firstLineChars="200"/>
      <w:jc w:val="both"/>
    </w:pPr>
    <w:rPr>
      <w:rFonts w:ascii="Times New Roman" w:hAnsi="Times New Roman" w:eastAsia="宋体" w:cs="Times New Roman"/>
      <w:color w:val="000000"/>
      <w:kern w:val="2"/>
      <w:sz w:val="24"/>
      <w:szCs w:val="30"/>
      <w:lang w:val="en-US" w:eastAsia="zh-CN" w:bidi="ar-SA"/>
    </w:rPr>
  </w:style>
  <w:style w:type="paragraph" w:customStyle="1" w:styleId="105">
    <w:name w:val="1正文段落"/>
    <w:basedOn w:val="1"/>
    <w:qFormat/>
    <w:uiPriority w:val="0"/>
    <w:pPr>
      <w:spacing w:line="520" w:lineRule="exact"/>
      <w:ind w:firstLine="200" w:firstLineChars="200"/>
    </w:pPr>
    <w:rPr>
      <w:rFonts w:ascii="Times New Roman" w:hAnsi="Times New Roman" w:eastAsia="宋体" w:cs="Times New Roman"/>
      <w:snapToGrid w:val="0"/>
      <w:kern w:val="0"/>
      <w:sz w:val="24"/>
      <w:szCs w:val="24"/>
    </w:rPr>
  </w:style>
  <w:style w:type="paragraph" w:customStyle="1" w:styleId="106">
    <w:name w:val="1表格"/>
    <w:basedOn w:val="1"/>
    <w:link w:val="107"/>
    <w:qFormat/>
    <w:uiPriority w:val="0"/>
    <w:pPr>
      <w:snapToGrid w:val="0"/>
      <w:spacing w:line="160" w:lineRule="atLeast"/>
      <w:jc w:val="center"/>
    </w:pPr>
    <w:rPr>
      <w:rFonts w:ascii="Times New Roman" w:hAnsi="Times New Roman" w:eastAsia="宋体" w:cs="Times New Roman"/>
      <w:szCs w:val="20"/>
    </w:rPr>
  </w:style>
  <w:style w:type="character" w:customStyle="1" w:styleId="107">
    <w:name w:val="1表格 Char"/>
    <w:link w:val="106"/>
    <w:qFormat/>
    <w:uiPriority w:val="0"/>
    <w:rPr>
      <w:kern w:val="2"/>
      <w:sz w:val="21"/>
    </w:rPr>
  </w:style>
  <w:style w:type="character" w:customStyle="1" w:styleId="108">
    <w:name w:val="表格 Char Char"/>
    <w:link w:val="76"/>
    <w:qFormat/>
    <w:uiPriority w:val="0"/>
    <w:rPr>
      <w:rFonts w:eastAsia="FangSong_GB2312"/>
      <w:kern w:val="2"/>
      <w:sz w:val="21"/>
    </w:rPr>
  </w:style>
  <w:style w:type="character" w:customStyle="1" w:styleId="109">
    <w:name w:val="修改正文 Char Char"/>
    <w:link w:val="110"/>
    <w:qFormat/>
    <w:uiPriority w:val="0"/>
    <w:rPr>
      <w:rFonts w:eastAsia="楷体_GB2312"/>
      <w:b/>
      <w:color w:val="0000FF"/>
      <w:kern w:val="2"/>
      <w:sz w:val="24"/>
      <w:szCs w:val="24"/>
    </w:rPr>
  </w:style>
  <w:style w:type="paragraph" w:customStyle="1" w:styleId="110">
    <w:name w:val="修改正文"/>
    <w:basedOn w:val="1"/>
    <w:link w:val="109"/>
    <w:qFormat/>
    <w:uiPriority w:val="0"/>
    <w:pPr>
      <w:ind w:firstLine="518" w:firstLineChars="200"/>
    </w:pPr>
    <w:rPr>
      <w:rFonts w:ascii="Times New Roman" w:hAnsi="Times New Roman" w:eastAsia="楷体_GB2312" w:cs="Times New Roman"/>
      <w:b/>
      <w:color w:val="0000FF"/>
      <w:sz w:val="24"/>
      <w:szCs w:val="24"/>
    </w:rPr>
  </w:style>
  <w:style w:type="paragraph" w:customStyle="1" w:styleId="111">
    <w:name w:val="正文11"/>
    <w:basedOn w:val="1"/>
    <w:qFormat/>
    <w:uiPriority w:val="0"/>
    <w:pPr>
      <w:spacing w:line="360" w:lineRule="auto"/>
      <w:ind w:firstLine="200" w:firstLineChars="200"/>
    </w:pPr>
    <w:rPr>
      <w:rFonts w:ascii="Times New Roman" w:hAnsi="Times New Roman" w:eastAsia="宋体" w:cs="Times New Roman"/>
      <w:spacing w:val="8"/>
      <w:sz w:val="24"/>
      <w:szCs w:val="20"/>
    </w:rPr>
  </w:style>
  <w:style w:type="character" w:customStyle="1" w:styleId="112">
    <w:name w:val="正文缩进 Char1"/>
    <w:qFormat/>
    <w:uiPriority w:val="0"/>
    <w:rPr>
      <w:rFonts w:eastAsia="宋体"/>
      <w:sz w:val="24"/>
      <w:lang w:val="en-US" w:eastAsia="zh-CN" w:bidi="ar-SA"/>
    </w:rPr>
  </w:style>
  <w:style w:type="character" w:customStyle="1" w:styleId="113">
    <w:name w:val="段落 Char1"/>
    <w:qFormat/>
    <w:uiPriority w:val="0"/>
    <w:rPr>
      <w:rFonts w:eastAsia="宋体"/>
      <w:kern w:val="2"/>
      <w:sz w:val="24"/>
      <w:lang w:val="en-US" w:eastAsia="zh-CN"/>
    </w:rPr>
  </w:style>
  <w:style w:type="character" w:customStyle="1" w:styleId="114">
    <w:name w:val="报告 Char Char"/>
    <w:link w:val="115"/>
    <w:qFormat/>
    <w:uiPriority w:val="0"/>
    <w:rPr>
      <w:sz w:val="24"/>
    </w:rPr>
  </w:style>
  <w:style w:type="paragraph" w:customStyle="1" w:styleId="115">
    <w:name w:val="报告"/>
    <w:basedOn w:val="1"/>
    <w:link w:val="114"/>
    <w:qFormat/>
    <w:uiPriority w:val="0"/>
    <w:pPr>
      <w:adjustRightInd w:val="0"/>
      <w:spacing w:line="360" w:lineRule="auto"/>
      <w:ind w:firstLine="505"/>
      <w:textAlignment w:val="baseline"/>
    </w:pPr>
    <w:rPr>
      <w:rFonts w:ascii="Times New Roman" w:hAnsi="Times New Roman" w:eastAsia="宋体" w:cs="Times New Roman"/>
      <w:kern w:val="0"/>
      <w:sz w:val="24"/>
      <w:szCs w:val="20"/>
    </w:rPr>
  </w:style>
  <w:style w:type="paragraph" w:customStyle="1" w:styleId="116">
    <w:name w:val="小四表文左齐"/>
    <w:basedOn w:val="1"/>
    <w:qFormat/>
    <w:uiPriority w:val="0"/>
    <w:pPr>
      <w:spacing w:line="360" w:lineRule="exact"/>
      <w:jc w:val="center"/>
    </w:pPr>
    <w:rPr>
      <w:rFonts w:ascii="Times New Roman" w:hAnsi="宋体" w:eastAsia="宋体" w:cs="Times New Roman"/>
      <w:szCs w:val="24"/>
    </w:rPr>
  </w:style>
  <w:style w:type="character" w:customStyle="1" w:styleId="117">
    <w:name w:val="表格正文 Char1"/>
    <w:link w:val="118"/>
    <w:qFormat/>
    <w:uiPriority w:val="0"/>
  </w:style>
  <w:style w:type="paragraph" w:customStyle="1" w:styleId="118">
    <w:name w:val="表格正文"/>
    <w:basedOn w:val="1"/>
    <w:link w:val="117"/>
    <w:qFormat/>
    <w:uiPriority w:val="0"/>
    <w:pPr>
      <w:widowControl/>
      <w:adjustRightInd w:val="0"/>
      <w:snapToGrid w:val="0"/>
      <w:spacing w:line="360" w:lineRule="exact"/>
      <w:jc w:val="center"/>
    </w:pPr>
    <w:rPr>
      <w:rFonts w:ascii="Times New Roman" w:hAnsi="Times New Roman" w:eastAsia="宋体" w:cs="Times New Roman"/>
      <w:kern w:val="0"/>
      <w:sz w:val="20"/>
      <w:szCs w:val="20"/>
    </w:rPr>
  </w:style>
  <w:style w:type="character" w:customStyle="1" w:styleId="119">
    <w:name w:val="font21"/>
    <w:basedOn w:val="32"/>
    <w:qFormat/>
    <w:uiPriority w:val="0"/>
    <w:rPr>
      <w:rFonts w:hint="eastAsia" w:ascii="宋体" w:hAnsi="宋体" w:eastAsia="宋体" w:cs="宋体"/>
      <w:color w:val="000000"/>
      <w:sz w:val="20"/>
      <w:szCs w:val="20"/>
      <w:u w:val="none"/>
    </w:rPr>
  </w:style>
  <w:style w:type="character" w:customStyle="1" w:styleId="120">
    <w:name w:val="font01"/>
    <w:basedOn w:val="32"/>
    <w:qFormat/>
    <w:uiPriority w:val="0"/>
    <w:rPr>
      <w:rFonts w:ascii="宋体" w:hAnsi="宋体" w:eastAsia="宋体" w:cs="宋体"/>
      <w:color w:val="000000"/>
      <w:sz w:val="20"/>
      <w:szCs w:val="20"/>
      <w:u w:val="none"/>
    </w:rPr>
  </w:style>
  <w:style w:type="character" w:customStyle="1" w:styleId="121">
    <w:name w:val="font11"/>
    <w:basedOn w:val="32"/>
    <w:qFormat/>
    <w:uiPriority w:val="0"/>
    <w:rPr>
      <w:rFonts w:hint="eastAsia" w:ascii="华文楷体" w:hAnsi="华文楷体" w:eastAsia="华文楷体" w:cs="华文楷体"/>
      <w:color w:val="000000"/>
      <w:sz w:val="20"/>
      <w:szCs w:val="20"/>
      <w:u w:val="none"/>
    </w:rPr>
  </w:style>
  <w:style w:type="paragraph" w:customStyle="1" w:styleId="122">
    <w:name w:val="表格内容"/>
    <w:basedOn w:val="1"/>
    <w:link w:val="123"/>
    <w:qFormat/>
    <w:uiPriority w:val="0"/>
    <w:pPr>
      <w:spacing w:line="360" w:lineRule="exact"/>
      <w:jc w:val="center"/>
    </w:pPr>
    <w:rPr>
      <w:rFonts w:ascii="Times New Roman" w:hAnsi="Times New Roman" w:eastAsia="宋体" w:cs="Times New Roman"/>
      <w:szCs w:val="21"/>
    </w:rPr>
  </w:style>
  <w:style w:type="character" w:customStyle="1" w:styleId="123">
    <w:name w:val="表格内容 Char"/>
    <w:basedOn w:val="32"/>
    <w:link w:val="122"/>
    <w:qFormat/>
    <w:uiPriority w:val="0"/>
    <w:rPr>
      <w:kern w:val="2"/>
      <w:sz w:val="21"/>
      <w:szCs w:val="21"/>
    </w:rPr>
  </w:style>
  <w:style w:type="character" w:customStyle="1" w:styleId="124">
    <w:name w:val="font141"/>
    <w:qFormat/>
    <w:uiPriority w:val="0"/>
    <w:rPr>
      <w:rFonts w:hint="eastAsia" w:ascii="宋体" w:hAnsi="宋体" w:eastAsia="宋体" w:cs="宋体"/>
      <w:color w:val="0000FF"/>
      <w:sz w:val="20"/>
      <w:szCs w:val="20"/>
      <w:u w:val="none"/>
    </w:rPr>
  </w:style>
  <w:style w:type="character" w:customStyle="1" w:styleId="125">
    <w:name w:val="font121"/>
    <w:qFormat/>
    <w:uiPriority w:val="0"/>
    <w:rPr>
      <w:rFonts w:hint="eastAsia" w:ascii="宋体" w:hAnsi="宋体" w:eastAsia="宋体" w:cs="宋体"/>
      <w:color w:val="000000"/>
      <w:sz w:val="20"/>
      <w:szCs w:val="20"/>
      <w:u w:val="none"/>
    </w:rPr>
  </w:style>
  <w:style w:type="character" w:customStyle="1" w:styleId="126">
    <w:name w:val="font112"/>
    <w:qFormat/>
    <w:uiPriority w:val="0"/>
    <w:rPr>
      <w:rFonts w:hint="default" w:ascii="Times New Roman" w:hAnsi="Times New Roman" w:cs="Times New Roman"/>
      <w:color w:val="000000"/>
      <w:sz w:val="22"/>
      <w:szCs w:val="22"/>
      <w:u w:val="none"/>
    </w:rPr>
  </w:style>
  <w:style w:type="character" w:customStyle="1" w:styleId="127">
    <w:name w:val="font131"/>
    <w:qFormat/>
    <w:uiPriority w:val="0"/>
    <w:rPr>
      <w:rFonts w:hint="default" w:ascii="Times New Roman" w:hAnsi="Times New Roman" w:cs="Times New Roman"/>
      <w:color w:val="000000"/>
      <w:sz w:val="20"/>
      <w:szCs w:val="20"/>
      <w:u w:val="none"/>
    </w:rPr>
  </w:style>
  <w:style w:type="character" w:customStyle="1" w:styleId="128">
    <w:name w:val="font71"/>
    <w:qFormat/>
    <w:uiPriority w:val="0"/>
    <w:rPr>
      <w:rFonts w:hint="eastAsia" w:ascii="宋体" w:hAnsi="宋体" w:eastAsia="宋体" w:cs="宋体"/>
      <w:color w:val="000000"/>
      <w:sz w:val="21"/>
      <w:szCs w:val="21"/>
      <w:u w:val="single"/>
    </w:rPr>
  </w:style>
  <w:style w:type="character" w:customStyle="1" w:styleId="129">
    <w:name w:val="font81"/>
    <w:qFormat/>
    <w:uiPriority w:val="0"/>
    <w:rPr>
      <w:rFonts w:hint="default" w:ascii="Times New Roman" w:hAnsi="Times New Roman" w:cs="Times New Roman"/>
      <w:color w:val="0000FF"/>
      <w:sz w:val="21"/>
      <w:szCs w:val="21"/>
      <w:u w:val="none"/>
    </w:rPr>
  </w:style>
  <w:style w:type="character" w:customStyle="1" w:styleId="130">
    <w:name w:val="font101"/>
    <w:qFormat/>
    <w:uiPriority w:val="0"/>
    <w:rPr>
      <w:rFonts w:hint="eastAsia" w:ascii="宋体" w:hAnsi="宋体" w:eastAsia="宋体" w:cs="宋体"/>
      <w:color w:val="000000"/>
      <w:sz w:val="21"/>
      <w:szCs w:val="21"/>
      <w:u w:val="none"/>
    </w:rPr>
  </w:style>
  <w:style w:type="paragraph" w:customStyle="1" w:styleId="131">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paragraph" w:customStyle="1" w:styleId="132">
    <w:name w:val="24磅正文"/>
    <w:basedOn w:val="1"/>
    <w:qFormat/>
    <w:uiPriority w:val="0"/>
    <w:pPr>
      <w:spacing w:line="480" w:lineRule="exact"/>
      <w:ind w:firstLine="480" w:firstLineChars="200"/>
    </w:pPr>
    <w:rPr>
      <w:rFonts w:ascii="Times New Roman" w:hAnsi="Times New Roman" w:eastAsia="宋体" w:cs="Times New Roman"/>
      <w:kern w:val="0"/>
      <w:sz w:val="20"/>
      <w:szCs w:val="20"/>
    </w:rPr>
  </w:style>
  <w:style w:type="character" w:customStyle="1" w:styleId="133">
    <w:name w:val="正文首行缩进 Char"/>
    <w:basedOn w:val="45"/>
    <w:link w:val="27"/>
    <w:semiHidden/>
    <w:qFormat/>
    <w:uiPriority w:val="99"/>
    <w:rPr>
      <w:rFonts w:asciiTheme="minorHAnsi" w:hAnsiTheme="minorHAnsi" w:eastAsiaTheme="minorEastAsia" w:cstheme="minorBidi"/>
      <w:kern w:val="2"/>
      <w:sz w:val="21"/>
      <w:szCs w:val="22"/>
    </w:rPr>
  </w:style>
  <w:style w:type="paragraph" w:customStyle="1" w:styleId="134">
    <w:name w:val="正文－1.5行距－段后6磅"/>
    <w:basedOn w:val="1"/>
    <w:link w:val="135"/>
    <w:qFormat/>
    <w:uiPriority w:val="0"/>
    <w:pPr>
      <w:spacing w:after="120" w:line="360" w:lineRule="auto"/>
      <w:ind w:firstLine="200" w:firstLineChars="200"/>
    </w:pPr>
    <w:rPr>
      <w:rFonts w:ascii="Calibri" w:hAnsi="Calibri" w:eastAsia="宋体" w:cs="Times New Roman"/>
      <w:kern w:val="0"/>
      <w:sz w:val="24"/>
      <w:szCs w:val="21"/>
    </w:rPr>
  </w:style>
  <w:style w:type="character" w:customStyle="1" w:styleId="135">
    <w:name w:val="正文－1.5行距－段后6磅 Char"/>
    <w:link w:val="134"/>
    <w:qFormat/>
    <w:uiPriority w:val="0"/>
    <w:rPr>
      <w:rFonts w:ascii="Calibri" w:hAnsi="Calibri"/>
      <w:sz w:val="24"/>
      <w:szCs w:val="21"/>
    </w:rPr>
  </w:style>
  <w:style w:type="paragraph" w:customStyle="1" w:styleId="136">
    <w:name w:val="正式（1）"/>
    <w:basedOn w:val="1"/>
    <w:qFormat/>
    <w:uiPriority w:val="0"/>
    <w:pPr>
      <w:spacing w:line="360" w:lineRule="auto"/>
      <w:ind w:firstLine="200"/>
    </w:pPr>
    <w:rPr>
      <w:rFonts w:ascii="Times New Roman" w:hAnsi="Times New Roman" w:eastAsia="宋体" w:cs="Times New Roman"/>
      <w:color w:val="000000"/>
      <w:spacing w:val="10"/>
      <w:kern w:val="1"/>
      <w:sz w:val="24"/>
      <w:szCs w:val="24"/>
    </w:rPr>
  </w:style>
  <w:style w:type="character" w:customStyle="1" w:styleId="137">
    <w:name w:val="报告正文1 Char"/>
    <w:link w:val="138"/>
    <w:qFormat/>
    <w:uiPriority w:val="0"/>
    <w:rPr>
      <w:rFonts w:ascii="Calibri" w:hAnsi="Calibri"/>
      <w:color w:val="000000"/>
      <w:kern w:val="2"/>
      <w:sz w:val="24"/>
      <w:szCs w:val="24"/>
    </w:rPr>
  </w:style>
  <w:style w:type="paragraph" w:customStyle="1" w:styleId="138">
    <w:name w:val="报告正文1"/>
    <w:link w:val="137"/>
    <w:qFormat/>
    <w:uiPriority w:val="0"/>
    <w:pPr>
      <w:spacing w:line="360" w:lineRule="auto"/>
      <w:ind w:firstLine="200" w:firstLineChars="200"/>
    </w:pPr>
    <w:rPr>
      <w:rFonts w:ascii="Calibri" w:hAnsi="Calibri" w:eastAsia="宋体" w:cs="Times New Roman"/>
      <w:color w:val="000000"/>
      <w:sz w:val="24"/>
      <w:szCs w:val="24"/>
      <w:lang w:val="en-US" w:eastAsia="zh-CN" w:bidi="ar-SA"/>
    </w:rPr>
  </w:style>
  <w:style w:type="character" w:customStyle="1" w:styleId="139">
    <w:name w:val="正文首行缩进 2 Char"/>
    <w:basedOn w:val="46"/>
    <w:link w:val="28"/>
    <w:semiHidden/>
    <w:qFormat/>
    <w:uiPriority w:val="99"/>
    <w:rPr>
      <w:rFonts w:asciiTheme="minorHAnsi" w:hAnsiTheme="minorHAnsi" w:eastAsiaTheme="minorEastAsia" w:cstheme="minorBidi"/>
      <w:kern w:val="2"/>
      <w:sz w:val="21"/>
      <w:szCs w:val="22"/>
    </w:rPr>
  </w:style>
  <w:style w:type="character" w:customStyle="1" w:styleId="140">
    <w:name w:val="表内格式 Char"/>
    <w:link w:val="141"/>
    <w:qFormat/>
    <w:locked/>
    <w:uiPriority w:val="0"/>
    <w:rPr>
      <w:rFonts w:ascii="仿宋_GB2312" w:eastAsia="仿宋_GB2312"/>
    </w:rPr>
  </w:style>
  <w:style w:type="paragraph" w:customStyle="1" w:styleId="141">
    <w:name w:val="表内格式"/>
    <w:basedOn w:val="1"/>
    <w:link w:val="140"/>
    <w:qFormat/>
    <w:uiPriority w:val="0"/>
    <w:pPr>
      <w:keepLines/>
      <w:spacing w:line="360" w:lineRule="auto"/>
      <w:ind w:firstLine="200" w:firstLineChars="200"/>
      <w:jc w:val="center"/>
    </w:pPr>
    <w:rPr>
      <w:rFonts w:ascii="仿宋_GB2312" w:hAnsi="Times New Roman" w:eastAsia="仿宋_GB2312" w:cs="Times New Roman"/>
      <w:kern w:val="0"/>
      <w:sz w:val="20"/>
      <w:szCs w:val="20"/>
    </w:rPr>
  </w:style>
  <w:style w:type="paragraph" w:customStyle="1" w:styleId="142">
    <w:name w:val="表内文字1"/>
    <w:basedOn w:val="1"/>
    <w:qFormat/>
    <w:uiPriority w:val="0"/>
    <w:pPr>
      <w:spacing w:line="440" w:lineRule="exact"/>
    </w:pPr>
    <w:rPr>
      <w:rFonts w:ascii="Times New Roman" w:hAnsi="Times New Roman" w:eastAsia="宋体" w:cs="Times New Roman"/>
      <w:color w:val="000000"/>
      <w:kern w:val="0"/>
      <w:sz w:val="24"/>
      <w:szCs w:val="20"/>
    </w:rPr>
  </w:style>
  <w:style w:type="paragraph" w:customStyle="1" w:styleId="143">
    <w:name w:val="标准表格5"/>
    <w:basedOn w:val="1"/>
    <w:qFormat/>
    <w:uiPriority w:val="0"/>
    <w:pPr>
      <w:widowControl/>
      <w:spacing w:line="320" w:lineRule="atLeast"/>
      <w:jc w:val="center"/>
    </w:pPr>
    <w:rPr>
      <w:rFonts w:ascii="Times New Roman" w:hAnsi="Times New Roman" w:eastAsia="宋体" w:cs="Times New Roman"/>
      <w:color w:val="000000"/>
      <w:kern w:val="0"/>
      <w:sz w:val="24"/>
      <w:szCs w:val="21"/>
    </w:rPr>
  </w:style>
  <w:style w:type="character" w:customStyle="1" w:styleId="144">
    <w:name w:val="font51"/>
    <w:qFormat/>
    <w:uiPriority w:val="0"/>
    <w:rPr>
      <w:rFonts w:hint="default" w:ascii="Times New Roman" w:hAnsi="Times New Roman" w:cs="Times New Roman"/>
      <w:color w:val="000000"/>
      <w:sz w:val="18"/>
      <w:szCs w:val="18"/>
      <w:u w:val="none"/>
      <w:vertAlign w:val="superscript"/>
    </w:rPr>
  </w:style>
  <w:style w:type="paragraph" w:customStyle="1" w:styleId="145">
    <w:name w:val="样式 样式 小四 行距: 固定值 20 磅 + 首行缩进:  2 字符"/>
    <w:basedOn w:val="1"/>
    <w:qFormat/>
    <w:uiPriority w:val="0"/>
    <w:pPr>
      <w:spacing w:line="480" w:lineRule="exact"/>
      <w:ind w:firstLine="200" w:firstLineChars="200"/>
    </w:pPr>
    <w:rPr>
      <w:rFonts w:cs="宋体"/>
      <w:sz w:val="28"/>
      <w:szCs w:val="20"/>
    </w:rPr>
  </w:style>
  <w:style w:type="paragraph" w:customStyle="1" w:styleId="146">
    <w:name w:val="Default1"/>
    <w:qFormat/>
    <w:uiPriority w:val="0"/>
    <w:pPr>
      <w:widowControl w:val="0"/>
      <w:autoSpaceDE w:val="0"/>
      <w:autoSpaceDN w:val="0"/>
      <w:adjustRightInd w:val="0"/>
    </w:pPr>
    <w:rPr>
      <w:rFonts w:ascii="宋体" w:hAnsi="Times New Roman" w:eastAsia="宋体" w:cs="宋体"/>
      <w:snapToGrid w:val="0"/>
      <w:color w:val="000000"/>
      <w:kern w:val="2"/>
      <w:sz w:val="24"/>
      <w:szCs w:val="24"/>
      <w:lang w:val="en-US" w:eastAsia="zh-CN" w:bidi="ar-SA"/>
    </w:rPr>
  </w:style>
  <w:style w:type="paragraph" w:customStyle="1" w:styleId="147">
    <w:name w:val="我的表格"/>
    <w:basedOn w:val="1"/>
    <w:qFormat/>
    <w:uiPriority w:val="0"/>
    <w:pPr>
      <w:autoSpaceDE w:val="0"/>
      <w:autoSpaceDN w:val="0"/>
      <w:adjustRightInd w:val="0"/>
      <w:jc w:val="center"/>
    </w:pPr>
    <w:rPr>
      <w:rFonts w:eastAsia="宋体"/>
      <w:kern w:val="0"/>
      <w:szCs w:val="21"/>
    </w:rPr>
  </w:style>
  <w:style w:type="paragraph" w:customStyle="1" w:styleId="148">
    <w:name w:val="【表格】"/>
    <w:next w:val="27"/>
    <w:qFormat/>
    <w:uiPriority w:val="0"/>
    <w:pPr>
      <w:spacing w:line="360" w:lineRule="auto"/>
      <w:jc w:val="center"/>
    </w:pPr>
    <w:rPr>
      <w:rFonts w:ascii="Times New Roman" w:hAnsi="Times New Roman" w:eastAsia="宋体" w:cs="Times New Roman"/>
      <w:sz w:val="21"/>
      <w:szCs w:val="24"/>
      <w:lang w:val="en-US" w:eastAsia="zh-CN" w:bidi="ar-SA"/>
    </w:rPr>
  </w:style>
  <w:style w:type="paragraph" w:customStyle="1" w:styleId="149">
    <w:name w:val="正文111"/>
    <w:basedOn w:val="1"/>
    <w:qFormat/>
    <w:uiPriority w:val="0"/>
    <w:pPr>
      <w:spacing w:line="440" w:lineRule="exact"/>
      <w:ind w:firstLine="480" w:firstLineChars="200"/>
    </w:pPr>
    <w:rPr>
      <w:sz w:val="24"/>
      <w:szCs w:val="24"/>
    </w:rPr>
  </w:style>
  <w:style w:type="paragraph" w:customStyle="1" w:styleId="150">
    <w:name w:val="样式 正文首行缩进:  2 字符 + 首行缩进:  2 字符"/>
    <w:basedOn w:val="1"/>
    <w:qFormat/>
    <w:uiPriority w:val="0"/>
    <w:pPr>
      <w:spacing w:line="360" w:lineRule="auto"/>
      <w:ind w:firstLine="480" w:firstLineChars="200"/>
    </w:pPr>
    <w:rPr>
      <w:rFonts w:cs="宋体"/>
      <w:sz w:val="24"/>
    </w:rPr>
  </w:style>
  <w:style w:type="paragraph" w:customStyle="1" w:styleId="151">
    <w:name w:val="标题3"/>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0" Type="http://schemas.openxmlformats.org/officeDocument/2006/relationships/fontTable" Target="fontTable.xml"/><Relationship Id="rId7" Type="http://schemas.openxmlformats.org/officeDocument/2006/relationships/header" Target="header2.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4.pn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3.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pn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2.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1.bin"/><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3726D8-B019-416F-B457-2F000DEAFF74}">
  <ds:schemaRefs/>
</ds:datastoreItem>
</file>

<file path=docProps/app.xml><?xml version="1.0" encoding="utf-8"?>
<Properties xmlns="http://schemas.openxmlformats.org/officeDocument/2006/extended-properties" xmlns:vt="http://schemas.openxmlformats.org/officeDocument/2006/docPropsVTypes">
  <Template>Normal</Template>
  <Company>HNKJ</Company>
  <Pages>68</Pages>
  <Words>22056</Words>
  <Characters>27310</Characters>
  <Lines>345</Lines>
  <Paragraphs>97</Paragraphs>
  <TotalTime>14</TotalTime>
  <ScaleCrop>false</ScaleCrop>
  <LinksUpToDate>false</LinksUpToDate>
  <CharactersWithSpaces>34359</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2020-01-02T07:40:00Z</dcterms:created>
  <dc:creator>HNUSER</dc:creator>
  <cp:lastModifiedBy>笑眼迷人</cp:lastModifiedBy>
  <cp:lastPrinted>2020-06-10T11:32:00Z</cp:lastPrinted>
  <dcterms:modified xsi:type="dcterms:W3CDTF">2021-11-19T07:30:02Z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6F5300F55D2A4FA2B13833209CAC5152</vt:lpwstr>
  </property>
</Properties>
</file>