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Times New Roman" w:hAnsi="Times New Roman" w:cs="Times New Roman"/>
          <w:b/>
          <w:bCs/>
          <w:sz w:val="36"/>
          <w:szCs w:val="36"/>
          <w:lang w:val="zh-CN"/>
        </w:rPr>
      </w:pPr>
    </w:p>
    <w:p>
      <w:pPr>
        <w:spacing w:line="480" w:lineRule="auto"/>
        <w:jc w:val="center"/>
        <w:rPr>
          <w:rFonts w:hint="eastAsia" w:ascii="Times New Roman" w:hAnsi="Times New Roman" w:cs="Times New Roman"/>
          <w:b/>
          <w:bCs/>
          <w:sz w:val="36"/>
          <w:szCs w:val="36"/>
          <w:lang w:val="zh-CN"/>
        </w:rPr>
      </w:pPr>
    </w:p>
    <w:p>
      <w:pPr>
        <w:spacing w:line="480" w:lineRule="auto"/>
        <w:jc w:val="center"/>
        <w:rPr>
          <w:rFonts w:hint="default" w:ascii="Times New Roman" w:hAnsi="Times New Roman" w:cs="Times New Roman"/>
          <w:b/>
          <w:bCs/>
          <w:sz w:val="36"/>
          <w:szCs w:val="36"/>
          <w:lang w:val="en-US" w:eastAsia="zh-CN"/>
        </w:rPr>
      </w:pPr>
      <w:r>
        <w:rPr>
          <w:rFonts w:hint="eastAsia"/>
          <w:b/>
          <w:bCs/>
          <w:sz w:val="36"/>
          <w:szCs w:val="36"/>
          <w:lang w:val="zh-CN"/>
        </w:rPr>
        <w:t>安徽省振兴节能科技有限公司玻璃深加工项目</w:t>
      </w:r>
    </w:p>
    <w:p>
      <w:pPr>
        <w:spacing w:line="480" w:lineRule="auto"/>
        <w:jc w:val="center"/>
        <w:rPr>
          <w:b/>
          <w:bCs/>
          <w:sz w:val="48"/>
          <w:szCs w:val="48"/>
          <w:lang w:val="zh-CN"/>
        </w:rPr>
      </w:pPr>
      <w:r>
        <w:rPr>
          <w:rFonts w:hint="eastAsia" w:eastAsia="宋体"/>
          <w:b/>
          <w:bCs/>
          <w:sz w:val="36"/>
          <w:szCs w:val="36"/>
          <w:lang w:val="zh-CN"/>
        </w:rPr>
        <w:t>竣工</w:t>
      </w:r>
      <w:r>
        <w:rPr>
          <w:rFonts w:hint="eastAsia"/>
          <w:b/>
          <w:bCs/>
          <w:sz w:val="36"/>
          <w:szCs w:val="36"/>
          <w:lang w:val="zh-CN"/>
        </w:rPr>
        <w:t>环境保护验收监测报告表</w:t>
      </w: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9"/>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hint="eastAsia"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建设单位：</w:t>
      </w:r>
      <w:r>
        <w:rPr>
          <w:rFonts w:hint="eastAsia" w:eastAsia="宋体" w:cs="Times New Roman"/>
          <w:b/>
          <w:bCs/>
          <w:kern w:val="2"/>
          <w:sz w:val="32"/>
          <w:szCs w:val="32"/>
          <w:lang w:val="en-US" w:eastAsia="zh-CN" w:bidi="ar-SA"/>
        </w:rPr>
        <w:t>安徽省振兴节能科技</w:t>
      </w:r>
      <w:r>
        <w:rPr>
          <w:rFonts w:hint="eastAsia" w:ascii="Times New Roman" w:hAnsi="Times New Roman" w:eastAsia="宋体" w:cs="Times New Roman"/>
          <w:b/>
          <w:bCs/>
          <w:kern w:val="2"/>
          <w:sz w:val="32"/>
          <w:szCs w:val="32"/>
          <w:lang w:val="zh-CN" w:eastAsia="zh-CN" w:bidi="ar-SA"/>
        </w:rPr>
        <w:t>有限公司</w:t>
      </w:r>
    </w:p>
    <w:p>
      <w:pPr>
        <w:jc w:val="right"/>
        <w:rPr>
          <w:color w:val="000000"/>
          <w:sz w:val="24"/>
        </w:rPr>
      </w:pPr>
    </w:p>
    <w:p>
      <w:pPr>
        <w:spacing w:line="360" w:lineRule="auto"/>
        <w:jc w:val="center"/>
        <w:rPr>
          <w:b/>
          <w:bCs/>
          <w:color w:val="000000"/>
          <w:sz w:val="44"/>
          <w:szCs w:val="44"/>
          <w:lang w:val="zh-CN"/>
        </w:rPr>
      </w:pPr>
      <w:r>
        <w:rPr>
          <w:b/>
          <w:bCs/>
          <w:color w:val="000000"/>
          <w:sz w:val="32"/>
          <w:szCs w:val="32"/>
        </w:rPr>
        <w:t>二〇二</w:t>
      </w:r>
      <w:r>
        <w:rPr>
          <w:rFonts w:hint="eastAsia"/>
          <w:b/>
          <w:bCs/>
          <w:color w:val="000000"/>
          <w:sz w:val="32"/>
          <w:szCs w:val="32"/>
          <w:lang w:eastAsia="zh-CN"/>
        </w:rPr>
        <w:t>二</w:t>
      </w:r>
      <w:r>
        <w:rPr>
          <w:b/>
          <w:bCs/>
          <w:color w:val="000000"/>
          <w:sz w:val="32"/>
          <w:szCs w:val="32"/>
        </w:rPr>
        <w:t>年</w:t>
      </w:r>
      <w:r>
        <w:rPr>
          <w:rFonts w:hint="eastAsia"/>
          <w:b/>
          <w:bCs/>
          <w:color w:val="000000"/>
          <w:sz w:val="32"/>
          <w:szCs w:val="32"/>
          <w:lang w:eastAsia="zh-CN"/>
        </w:rPr>
        <w:t>二</w:t>
      </w:r>
      <w:r>
        <w:rPr>
          <w:b/>
          <w:bCs/>
          <w:color w:val="000000"/>
          <w:sz w:val="32"/>
          <w:szCs w:val="32"/>
        </w:rPr>
        <w:t>月</w:t>
      </w:r>
    </w:p>
    <w:p>
      <w:pPr>
        <w:spacing w:line="600" w:lineRule="auto"/>
        <w:jc w:val="center"/>
      </w:pPr>
      <w:r>
        <w:drawing>
          <wp:inline distT="0" distB="0" distL="114300" distR="114300">
            <wp:extent cx="5276215" cy="7994015"/>
            <wp:effectExtent l="0" t="0" r="635" b="698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0"/>
                    <a:stretch>
                      <a:fillRect/>
                    </a:stretch>
                  </pic:blipFill>
                  <pic:spPr>
                    <a:xfrm>
                      <a:off x="0" y="0"/>
                      <a:ext cx="5276215" cy="7994015"/>
                    </a:xfrm>
                    <a:prstGeom prst="rect">
                      <a:avLst/>
                    </a:prstGeom>
                    <a:noFill/>
                    <a:ln>
                      <a:noFill/>
                    </a:ln>
                  </pic:spPr>
                </pic:pic>
              </a:graphicData>
            </a:graphic>
          </wp:inline>
        </w:drawing>
      </w:r>
      <w:r>
        <w:drawing>
          <wp:inline distT="0" distB="0" distL="114300" distR="114300">
            <wp:extent cx="5219700" cy="7991475"/>
            <wp:effectExtent l="0" t="0" r="0" b="952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1"/>
                    <a:stretch>
                      <a:fillRect/>
                    </a:stretch>
                  </pic:blipFill>
                  <pic:spPr>
                    <a:xfrm>
                      <a:off x="0" y="0"/>
                      <a:ext cx="5219700" cy="7991475"/>
                    </a:xfrm>
                    <a:prstGeom prst="rect">
                      <a:avLst/>
                    </a:prstGeom>
                    <a:noFill/>
                    <a:ln>
                      <a:noFill/>
                    </a:ln>
                  </pic:spPr>
                </pic:pic>
              </a:graphicData>
            </a:graphic>
          </wp:inline>
        </w:drawing>
      </w:r>
      <w:r>
        <w:drawing>
          <wp:inline distT="0" distB="0" distL="114300" distR="114300">
            <wp:extent cx="5162550" cy="7915275"/>
            <wp:effectExtent l="0" t="0" r="0" b="952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2"/>
                    <a:stretch>
                      <a:fillRect/>
                    </a:stretch>
                  </pic:blipFill>
                  <pic:spPr>
                    <a:xfrm>
                      <a:off x="0" y="0"/>
                      <a:ext cx="5162550" cy="7915275"/>
                    </a:xfrm>
                    <a:prstGeom prst="rect">
                      <a:avLst/>
                    </a:prstGeom>
                    <a:noFill/>
                    <a:ln>
                      <a:noFill/>
                    </a:ln>
                  </pic:spPr>
                </pic:pic>
              </a:graphicData>
            </a:graphic>
          </wp:inline>
        </w:drawing>
      </w:r>
      <w:r>
        <w:drawing>
          <wp:inline distT="0" distB="0" distL="114300" distR="114300">
            <wp:extent cx="5275580" cy="7680325"/>
            <wp:effectExtent l="0" t="0" r="1270" b="1587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3"/>
                    <a:stretch>
                      <a:fillRect/>
                    </a:stretch>
                  </pic:blipFill>
                  <pic:spPr>
                    <a:xfrm>
                      <a:off x="0" y="0"/>
                      <a:ext cx="5275580" cy="7680325"/>
                    </a:xfrm>
                    <a:prstGeom prst="rect">
                      <a:avLst/>
                    </a:prstGeom>
                    <a:noFill/>
                    <a:ln>
                      <a:noFill/>
                    </a:ln>
                  </pic:spPr>
                </pic:pic>
              </a:graphicData>
            </a:graphic>
          </wp:inline>
        </w:drawing>
      </w:r>
      <w:r>
        <w:drawing>
          <wp:inline distT="0" distB="0" distL="114300" distR="114300">
            <wp:extent cx="5219700" cy="7972425"/>
            <wp:effectExtent l="0" t="0" r="0" b="952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4"/>
                    <a:stretch>
                      <a:fillRect/>
                    </a:stretch>
                  </pic:blipFill>
                  <pic:spPr>
                    <a:xfrm>
                      <a:off x="0" y="0"/>
                      <a:ext cx="5219700" cy="7972425"/>
                    </a:xfrm>
                    <a:prstGeom prst="rect">
                      <a:avLst/>
                    </a:prstGeom>
                    <a:noFill/>
                    <a:ln>
                      <a:noFill/>
                    </a:ln>
                  </pic:spPr>
                </pic:pic>
              </a:graphicData>
            </a:graphic>
          </wp:inline>
        </w:drawing>
      </w:r>
      <w:r>
        <w:drawing>
          <wp:inline distT="0" distB="0" distL="114300" distR="114300">
            <wp:extent cx="5076825" cy="7962900"/>
            <wp:effectExtent l="0" t="0" r="9525" b="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5"/>
                    <a:stretch>
                      <a:fillRect/>
                    </a:stretch>
                  </pic:blipFill>
                  <pic:spPr>
                    <a:xfrm>
                      <a:off x="0" y="0"/>
                      <a:ext cx="5076825" cy="7962900"/>
                    </a:xfrm>
                    <a:prstGeom prst="rect">
                      <a:avLst/>
                    </a:prstGeom>
                    <a:noFill/>
                    <a:ln>
                      <a:noFill/>
                    </a:ln>
                  </pic:spPr>
                </pic:pic>
              </a:graphicData>
            </a:graphic>
          </wp:inline>
        </w:drawing>
      </w:r>
    </w:p>
    <w:p>
      <w:pPr>
        <w:spacing w:line="600" w:lineRule="auto"/>
        <w:jc w:val="center"/>
      </w:pPr>
    </w:p>
    <w:p>
      <w:pPr>
        <w:spacing w:line="600" w:lineRule="auto"/>
        <w:jc w:val="center"/>
      </w:pPr>
    </w:p>
    <w:p>
      <w:pPr>
        <w:spacing w:line="600" w:lineRule="auto"/>
        <w:jc w:val="center"/>
      </w:pPr>
    </w:p>
    <w:p>
      <w:pPr>
        <w:spacing w:line="600" w:lineRule="auto"/>
        <w:jc w:val="center"/>
        <w:rPr>
          <w:b/>
          <w:bCs/>
          <w:sz w:val="36"/>
          <w:szCs w:val="36"/>
          <w:lang w:val="zh-CN"/>
        </w:rPr>
      </w:pPr>
      <w:r>
        <w:rPr>
          <w:rFonts w:hint="eastAsia"/>
          <w:b/>
          <w:bCs/>
          <w:sz w:val="36"/>
          <w:szCs w:val="36"/>
          <w:lang w:val="zh-CN"/>
        </w:rPr>
        <w:t>安徽省振兴节能科技有限公司玻璃深加工项目竣工环境保护验收监测报告表</w:t>
      </w:r>
    </w:p>
    <w:p>
      <w:pPr>
        <w:spacing w:line="480" w:lineRule="auto"/>
        <w:jc w:val="center"/>
        <w:rPr>
          <w:b/>
          <w:bCs/>
          <w:sz w:val="48"/>
          <w:szCs w:val="48"/>
          <w:lang w:val="zh-CN"/>
        </w:rPr>
      </w:pP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spacing w:line="720" w:lineRule="auto"/>
        <w:ind w:firstLine="1205" w:firstLineChars="400"/>
        <w:rPr>
          <w:b/>
          <w:bCs/>
          <w:sz w:val="30"/>
          <w:szCs w:val="30"/>
        </w:rPr>
      </w:pPr>
      <w:r>
        <w:rPr>
          <w:rFonts w:hint="eastAsia"/>
          <w:b/>
          <w:bCs/>
          <w:sz w:val="30"/>
          <w:szCs w:val="30"/>
        </w:rPr>
        <w:t>建设</w:t>
      </w:r>
      <w:r>
        <w:rPr>
          <w:b/>
          <w:bCs/>
          <w:sz w:val="30"/>
          <w:szCs w:val="30"/>
        </w:rPr>
        <w:t>单位：</w:t>
      </w:r>
      <w:r>
        <w:rPr>
          <w:b/>
          <w:bCs/>
          <w:sz w:val="30"/>
          <w:szCs w:val="30"/>
          <w:u w:val="single"/>
        </w:rPr>
        <w:t xml:space="preserve">    </w:t>
      </w:r>
      <w:r>
        <w:rPr>
          <w:rFonts w:hint="eastAsia"/>
          <w:b/>
          <w:bCs/>
          <w:sz w:val="30"/>
          <w:szCs w:val="30"/>
          <w:u w:val="single"/>
        </w:rPr>
        <w:t xml:space="preserve">安徽省振兴节能科技有限公司 </w:t>
      </w:r>
      <w:r>
        <w:rPr>
          <w:b/>
          <w:bCs/>
          <w:sz w:val="30"/>
          <w:szCs w:val="30"/>
          <w:u w:val="single"/>
        </w:rPr>
        <w:t xml:space="preserve">   </w:t>
      </w:r>
      <w:r>
        <w:rPr>
          <w:b/>
          <w:bCs/>
          <w:sz w:val="30"/>
          <w:szCs w:val="30"/>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rPr>
        <w:t xml:space="preserve">安徽省振兴节能科技有限公司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13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rPr>
        <w:t>二二</w:t>
      </w:r>
      <w:r>
        <w:rPr>
          <w:b/>
          <w:bCs/>
          <w:sz w:val="28"/>
          <w:szCs w:val="28"/>
        </w:rPr>
        <w:t>年</w:t>
      </w:r>
      <w:r>
        <w:rPr>
          <w:rFonts w:hint="eastAsia"/>
          <w:b/>
          <w:bCs/>
          <w:sz w:val="28"/>
          <w:szCs w:val="28"/>
        </w:rPr>
        <w:t>二</w:t>
      </w:r>
      <w:r>
        <w:rPr>
          <w:b/>
          <w:bCs/>
          <w:sz w:val="28"/>
          <w:szCs w:val="28"/>
        </w:rPr>
        <w:t>月</w:t>
      </w:r>
    </w:p>
    <w:p>
      <w:pPr>
        <w:spacing w:line="360" w:lineRule="auto"/>
        <w:rPr>
          <w:color w:val="000000"/>
          <w:sz w:val="32"/>
          <w:szCs w:val="32"/>
        </w:rPr>
      </w:pPr>
      <w:r>
        <w:rPr>
          <w:color w:val="000000"/>
          <w:sz w:val="32"/>
          <w:szCs w:val="32"/>
        </w:rPr>
        <w:t>建设单位</w:t>
      </w:r>
      <w:r>
        <w:rPr>
          <w:rFonts w:hint="eastAsia"/>
          <w:color w:val="000000"/>
          <w:sz w:val="32"/>
          <w:szCs w:val="32"/>
        </w:rPr>
        <w:t>法人代表</w:t>
      </w:r>
      <w:r>
        <w:rPr>
          <w:color w:val="000000"/>
          <w:sz w:val="32"/>
          <w:szCs w:val="32"/>
        </w:rPr>
        <w:t>：</w:t>
      </w:r>
      <w:r>
        <w:rPr>
          <w:rFonts w:hint="eastAsia"/>
          <w:color w:val="000000"/>
          <w:sz w:val="32"/>
          <w:szCs w:val="32"/>
        </w:rPr>
        <w:t xml:space="preserve">   张传义            （签字）</w:t>
      </w:r>
    </w:p>
    <w:p>
      <w:pPr>
        <w:spacing w:line="360" w:lineRule="auto"/>
        <w:rPr>
          <w:color w:val="000000"/>
          <w:sz w:val="32"/>
          <w:szCs w:val="32"/>
        </w:rPr>
      </w:pPr>
      <w:r>
        <w:rPr>
          <w:rFonts w:hint="eastAsia"/>
          <w:color w:val="000000"/>
          <w:sz w:val="32"/>
          <w:szCs w:val="32"/>
        </w:rPr>
        <w:t>编制单位法人代表</w:t>
      </w:r>
      <w:r>
        <w:rPr>
          <w:color w:val="000000"/>
          <w:sz w:val="32"/>
          <w:szCs w:val="32"/>
        </w:rPr>
        <w:t>：</w:t>
      </w:r>
      <w:r>
        <w:rPr>
          <w:rFonts w:hint="eastAsia"/>
          <w:color w:val="000000"/>
          <w:sz w:val="32"/>
          <w:szCs w:val="32"/>
        </w:rPr>
        <w:t xml:space="preserve">   张传义           （签字）</w:t>
      </w:r>
    </w:p>
    <w:p>
      <w:pPr>
        <w:spacing w:line="360" w:lineRule="auto"/>
        <w:rPr>
          <w:color w:val="000000"/>
          <w:sz w:val="32"/>
          <w:szCs w:val="32"/>
        </w:rPr>
      </w:pPr>
      <w:r>
        <w:rPr>
          <w:rFonts w:hint="eastAsia"/>
          <w:color w:val="000000"/>
          <w:sz w:val="32"/>
          <w:szCs w:val="32"/>
        </w:rPr>
        <w:t>项  目  负  责  人：</w:t>
      </w:r>
    </w:p>
    <w:p>
      <w:pPr>
        <w:pStyle w:val="33"/>
        <w:spacing w:line="360" w:lineRule="auto"/>
        <w:ind w:firstLine="0" w:firstLineChars="0"/>
        <w:rPr>
          <w:color w:val="000000"/>
        </w:rPr>
      </w:pPr>
      <w:r>
        <w:rPr>
          <w:rFonts w:hint="eastAsia" w:cs="Times New Roman"/>
          <w:color w:val="000000"/>
          <w:sz w:val="32"/>
          <w:szCs w:val="32"/>
        </w:rPr>
        <w:t>填      表     人：</w:t>
      </w:r>
    </w:p>
    <w:p>
      <w:pPr>
        <w:spacing w:line="360" w:lineRule="auto"/>
        <w:rPr>
          <w:color w:val="000000"/>
          <w:sz w:val="32"/>
          <w:szCs w:val="32"/>
        </w:rPr>
      </w:pPr>
    </w:p>
    <w:p>
      <w:pPr>
        <w:pStyle w:val="33"/>
        <w:ind w:firstLine="640"/>
        <w:rPr>
          <w:rFonts w:cs="Times New Roman"/>
          <w:color w:val="000000"/>
          <w:sz w:val="32"/>
          <w:szCs w:val="32"/>
        </w:rPr>
      </w:pPr>
    </w:p>
    <w:p>
      <w:pPr>
        <w:pStyle w:val="33"/>
        <w:ind w:firstLine="640"/>
        <w:rPr>
          <w:rFonts w:cs="Times New Roman"/>
          <w:color w:val="000000"/>
          <w:sz w:val="32"/>
          <w:szCs w:val="32"/>
        </w:rPr>
      </w:pPr>
    </w:p>
    <w:p>
      <w:pPr>
        <w:spacing w:line="360" w:lineRule="auto"/>
        <w:rPr>
          <w:color w:val="000000"/>
          <w:sz w:val="28"/>
          <w:szCs w:val="28"/>
        </w:rPr>
      </w:pPr>
      <w:r>
        <w:rPr>
          <w:color w:val="000000"/>
          <w:sz w:val="28"/>
          <w:szCs w:val="28"/>
        </w:rPr>
        <w:t xml:space="preserve"> </w:t>
      </w: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rPr>
          <w:rFonts w:ascii="Times New Roman" w:hAnsi="Times New Roman"/>
          <w:color w:val="000000"/>
          <w:sz w:val="28"/>
          <w:szCs w:val="28"/>
        </w:rPr>
      </w:pPr>
    </w:p>
    <w:p>
      <w:pPr>
        <w:pStyle w:val="9"/>
        <w:jc w:val="both"/>
        <w:rPr>
          <w:rFonts w:ascii="Times New Roman" w:hAnsi="Times New Roman"/>
          <w:color w:val="000000"/>
          <w:sz w:val="28"/>
          <w:szCs w:val="28"/>
        </w:rPr>
      </w:pPr>
    </w:p>
    <w:p>
      <w:pPr>
        <w:pStyle w:val="33"/>
        <w:ind w:firstLine="0" w:firstLineChars="0"/>
        <w:rPr>
          <w:rFonts w:cs="Times New Roman"/>
          <w:color w:val="000000"/>
        </w:rPr>
      </w:pPr>
    </w:p>
    <w:tbl>
      <w:tblPr>
        <w:tblStyle w:val="24"/>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3"/>
        <w:gridCol w:w="3240"/>
        <w:gridCol w:w="1485"/>
        <w:gridCol w:w="3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vAlign w:val="center"/>
          </w:tcPr>
          <w:p>
            <w:pPr>
              <w:rPr>
                <w:color w:val="000000"/>
                <w:sz w:val="24"/>
              </w:rPr>
            </w:pPr>
            <w:r>
              <w:rPr>
                <w:color w:val="000000"/>
                <w:sz w:val="24"/>
              </w:rPr>
              <w:t>建设单位：</w:t>
            </w:r>
          </w:p>
        </w:tc>
        <w:tc>
          <w:tcPr>
            <w:tcW w:w="3240" w:type="dxa"/>
            <w:tcBorders>
              <w:tl2br w:val="nil"/>
              <w:tr2bl w:val="nil"/>
            </w:tcBorders>
            <w:vAlign w:val="center"/>
          </w:tcPr>
          <w:p>
            <w:pPr>
              <w:rPr>
                <w:color w:val="000000"/>
                <w:sz w:val="24"/>
              </w:rPr>
            </w:pPr>
            <w:r>
              <w:rPr>
                <w:rFonts w:hint="eastAsia"/>
                <w:snapToGrid w:val="0"/>
                <w:kern w:val="0"/>
                <w:sz w:val="24"/>
              </w:rPr>
              <w:t>安徽省振兴节能科技有限公司</w:t>
            </w:r>
            <w:r>
              <w:rPr>
                <w:color w:val="000000"/>
                <w:sz w:val="24"/>
              </w:rPr>
              <w:t>（盖章）</w:t>
            </w:r>
          </w:p>
        </w:tc>
        <w:tc>
          <w:tcPr>
            <w:tcW w:w="1485" w:type="dxa"/>
            <w:tcBorders>
              <w:tl2br w:val="nil"/>
              <w:tr2bl w:val="nil"/>
            </w:tcBorders>
            <w:vAlign w:val="center"/>
          </w:tcPr>
          <w:p>
            <w:pPr>
              <w:rPr>
                <w:color w:val="000000"/>
                <w:sz w:val="24"/>
              </w:rPr>
            </w:pPr>
            <w:r>
              <w:rPr>
                <w:color w:val="000000"/>
                <w:sz w:val="24"/>
              </w:rPr>
              <w:t>编制单位：</w:t>
            </w:r>
          </w:p>
        </w:tc>
        <w:tc>
          <w:tcPr>
            <w:tcW w:w="3420" w:type="dxa"/>
            <w:tcBorders>
              <w:tl2br w:val="nil"/>
              <w:tr2bl w:val="nil"/>
            </w:tcBorders>
            <w:vAlign w:val="center"/>
          </w:tcPr>
          <w:p>
            <w:pPr>
              <w:rPr>
                <w:color w:val="000000"/>
                <w:sz w:val="24"/>
              </w:rPr>
            </w:pPr>
            <w:r>
              <w:rPr>
                <w:rFonts w:hint="eastAsia"/>
                <w:snapToGrid w:val="0"/>
                <w:kern w:val="0"/>
                <w:sz w:val="24"/>
              </w:rPr>
              <w:t>安徽省振兴节能科技有限公司</w:t>
            </w:r>
            <w:r>
              <w:rPr>
                <w:color w:val="000000"/>
                <w:sz w:val="24"/>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vAlign w:val="center"/>
          </w:tcPr>
          <w:p>
            <w:pPr>
              <w:rPr>
                <w:color w:val="000000"/>
                <w:sz w:val="24"/>
              </w:rPr>
            </w:pPr>
            <w:r>
              <w:rPr>
                <w:color w:val="000000"/>
                <w:sz w:val="24"/>
              </w:rPr>
              <w:t>电    话：</w:t>
            </w:r>
          </w:p>
        </w:tc>
        <w:tc>
          <w:tcPr>
            <w:tcW w:w="3240" w:type="dxa"/>
            <w:tcBorders>
              <w:tl2br w:val="nil"/>
              <w:tr2bl w:val="nil"/>
            </w:tcBorders>
            <w:vAlign w:val="center"/>
          </w:tcPr>
          <w:p>
            <w:pPr>
              <w:rPr>
                <w:color w:val="000000"/>
                <w:sz w:val="24"/>
              </w:rPr>
            </w:pPr>
            <w:r>
              <w:rPr>
                <w:rFonts w:hint="eastAsia"/>
                <w:bCs/>
                <w:color w:val="000000"/>
                <w:sz w:val="24"/>
              </w:rPr>
              <w:t>13866688607</w:t>
            </w:r>
          </w:p>
        </w:tc>
        <w:tc>
          <w:tcPr>
            <w:tcW w:w="1485" w:type="dxa"/>
            <w:tcBorders>
              <w:tl2br w:val="nil"/>
              <w:tr2bl w:val="nil"/>
            </w:tcBorders>
            <w:vAlign w:val="center"/>
          </w:tcPr>
          <w:p>
            <w:pPr>
              <w:rPr>
                <w:color w:val="000000"/>
                <w:sz w:val="24"/>
              </w:rPr>
            </w:pPr>
            <w:r>
              <w:rPr>
                <w:color w:val="000000"/>
                <w:sz w:val="24"/>
              </w:rPr>
              <w:t>电    话：</w:t>
            </w:r>
          </w:p>
        </w:tc>
        <w:tc>
          <w:tcPr>
            <w:tcW w:w="3420" w:type="dxa"/>
            <w:tcBorders>
              <w:tl2br w:val="nil"/>
              <w:tr2bl w:val="nil"/>
            </w:tcBorders>
            <w:vAlign w:val="center"/>
          </w:tcPr>
          <w:p>
            <w:pPr>
              <w:rPr>
                <w:color w:val="000000"/>
                <w:sz w:val="24"/>
              </w:rPr>
            </w:pPr>
            <w:r>
              <w:rPr>
                <w:rFonts w:hint="eastAsia"/>
                <w:bCs/>
                <w:color w:val="000000"/>
                <w:sz w:val="24"/>
              </w:rPr>
              <w:t>13866688607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vAlign w:val="center"/>
          </w:tcPr>
          <w:p>
            <w:pPr>
              <w:rPr>
                <w:color w:val="000000"/>
                <w:sz w:val="24"/>
              </w:rPr>
            </w:pPr>
            <w:r>
              <w:rPr>
                <w:rFonts w:hint="eastAsia"/>
                <w:color w:val="000000"/>
                <w:sz w:val="24"/>
              </w:rPr>
              <w:t>传    真：</w:t>
            </w:r>
          </w:p>
        </w:tc>
        <w:tc>
          <w:tcPr>
            <w:tcW w:w="3240" w:type="dxa"/>
            <w:tcBorders>
              <w:tl2br w:val="nil"/>
              <w:tr2bl w:val="nil"/>
            </w:tcBorders>
            <w:vAlign w:val="center"/>
          </w:tcPr>
          <w:p>
            <w:pPr>
              <w:rPr>
                <w:color w:val="000000"/>
                <w:sz w:val="24"/>
              </w:rPr>
            </w:pPr>
            <w:r>
              <w:rPr>
                <w:rFonts w:hint="eastAsia"/>
                <w:color w:val="000000"/>
                <w:sz w:val="24"/>
              </w:rPr>
              <w:t>/</w:t>
            </w:r>
          </w:p>
        </w:tc>
        <w:tc>
          <w:tcPr>
            <w:tcW w:w="1485" w:type="dxa"/>
            <w:tcBorders>
              <w:tl2br w:val="nil"/>
              <w:tr2bl w:val="nil"/>
            </w:tcBorders>
            <w:vAlign w:val="center"/>
          </w:tcPr>
          <w:p>
            <w:pPr>
              <w:rPr>
                <w:color w:val="000000"/>
                <w:sz w:val="24"/>
              </w:rPr>
            </w:pPr>
            <w:r>
              <w:rPr>
                <w:rFonts w:hint="eastAsia"/>
                <w:color w:val="000000"/>
                <w:sz w:val="24"/>
              </w:rPr>
              <w:t>传    真：</w:t>
            </w:r>
          </w:p>
        </w:tc>
        <w:tc>
          <w:tcPr>
            <w:tcW w:w="3420" w:type="dxa"/>
            <w:tcBorders>
              <w:tl2br w:val="nil"/>
              <w:tr2bl w:val="nil"/>
            </w:tcBorders>
            <w:vAlign w:val="center"/>
          </w:tcPr>
          <w:p>
            <w:pPr>
              <w:rPr>
                <w:color w:val="000000"/>
                <w:sz w:val="24"/>
              </w:rPr>
            </w:pPr>
            <w:r>
              <w:rPr>
                <w:rFonts w:hint="eastAsia"/>
                <w:color w:val="00000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vAlign w:val="center"/>
          </w:tcPr>
          <w:p>
            <w:pPr>
              <w:rPr>
                <w:color w:val="000000"/>
                <w:sz w:val="24"/>
              </w:rPr>
            </w:pPr>
            <w:r>
              <w:rPr>
                <w:color w:val="000000"/>
                <w:sz w:val="24"/>
              </w:rPr>
              <w:t>邮    编：</w:t>
            </w:r>
          </w:p>
        </w:tc>
        <w:tc>
          <w:tcPr>
            <w:tcW w:w="3240" w:type="dxa"/>
            <w:tcBorders>
              <w:tl2br w:val="nil"/>
              <w:tr2bl w:val="nil"/>
            </w:tcBorders>
            <w:vAlign w:val="center"/>
          </w:tcPr>
          <w:p>
            <w:pPr>
              <w:rPr>
                <w:sz w:val="24"/>
              </w:rPr>
            </w:pPr>
            <w:r>
              <w:rPr>
                <w:rFonts w:hint="eastAsia"/>
                <w:sz w:val="24"/>
              </w:rPr>
              <w:t>230012</w:t>
            </w:r>
          </w:p>
        </w:tc>
        <w:tc>
          <w:tcPr>
            <w:tcW w:w="1485" w:type="dxa"/>
            <w:tcBorders>
              <w:tl2br w:val="nil"/>
              <w:tr2bl w:val="nil"/>
            </w:tcBorders>
            <w:vAlign w:val="center"/>
          </w:tcPr>
          <w:p>
            <w:pPr>
              <w:rPr>
                <w:sz w:val="24"/>
              </w:rPr>
            </w:pPr>
            <w:r>
              <w:rPr>
                <w:sz w:val="24"/>
              </w:rPr>
              <w:t>邮    编：</w:t>
            </w:r>
          </w:p>
        </w:tc>
        <w:tc>
          <w:tcPr>
            <w:tcW w:w="3420" w:type="dxa"/>
            <w:tcBorders>
              <w:tl2br w:val="nil"/>
              <w:tr2bl w:val="nil"/>
            </w:tcBorders>
            <w:vAlign w:val="center"/>
          </w:tcPr>
          <w:p>
            <w:pPr>
              <w:rPr>
                <w:sz w:val="24"/>
              </w:rPr>
            </w:pPr>
            <w:r>
              <w:rPr>
                <w:sz w:val="24"/>
              </w:rPr>
              <w:t>2300</w:t>
            </w:r>
            <w:r>
              <w:rPr>
                <w:rFonts w:hint="eastAsia"/>
                <w:sz w:val="24"/>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vAlign w:val="center"/>
          </w:tcPr>
          <w:p>
            <w:pPr>
              <w:rPr>
                <w:color w:val="000000"/>
                <w:sz w:val="24"/>
              </w:rPr>
            </w:pPr>
            <w:r>
              <w:rPr>
                <w:color w:val="000000"/>
                <w:sz w:val="24"/>
              </w:rPr>
              <w:t>地    址：</w:t>
            </w:r>
          </w:p>
        </w:tc>
        <w:tc>
          <w:tcPr>
            <w:tcW w:w="3240" w:type="dxa"/>
            <w:tcBorders>
              <w:tl2br w:val="nil"/>
              <w:tr2bl w:val="nil"/>
            </w:tcBorders>
            <w:vAlign w:val="center"/>
          </w:tcPr>
          <w:p>
            <w:pPr>
              <w:rPr>
                <w:color w:val="000000"/>
                <w:sz w:val="24"/>
              </w:rPr>
            </w:pPr>
            <w:r>
              <w:rPr>
                <w:snapToGrid w:val="0"/>
                <w:kern w:val="0"/>
                <w:sz w:val="24"/>
              </w:rPr>
              <w:t>安徽省合肥市</w:t>
            </w:r>
            <w:r>
              <w:rPr>
                <w:rFonts w:hint="eastAsia"/>
                <w:bCs/>
                <w:color w:val="000000"/>
                <w:sz w:val="24"/>
              </w:rPr>
              <w:t>循环经济示范园龙兴大道与乳泉路交口东南侧</w:t>
            </w:r>
          </w:p>
        </w:tc>
        <w:tc>
          <w:tcPr>
            <w:tcW w:w="1485" w:type="dxa"/>
            <w:tcBorders>
              <w:tl2br w:val="nil"/>
              <w:tr2bl w:val="nil"/>
            </w:tcBorders>
            <w:vAlign w:val="center"/>
          </w:tcPr>
          <w:p>
            <w:pPr>
              <w:rPr>
                <w:color w:val="000000"/>
                <w:sz w:val="24"/>
              </w:rPr>
            </w:pPr>
            <w:r>
              <w:rPr>
                <w:color w:val="000000"/>
                <w:sz w:val="24"/>
              </w:rPr>
              <w:t>地    址：</w:t>
            </w:r>
          </w:p>
        </w:tc>
        <w:tc>
          <w:tcPr>
            <w:tcW w:w="3420" w:type="dxa"/>
            <w:tcBorders>
              <w:tl2br w:val="nil"/>
              <w:tr2bl w:val="nil"/>
            </w:tcBorders>
            <w:vAlign w:val="center"/>
          </w:tcPr>
          <w:p>
            <w:pPr>
              <w:rPr>
                <w:color w:val="000000"/>
                <w:sz w:val="24"/>
              </w:rPr>
            </w:pPr>
            <w:r>
              <w:rPr>
                <w:snapToGrid w:val="0"/>
                <w:kern w:val="0"/>
                <w:sz w:val="24"/>
              </w:rPr>
              <w:t>安徽省合肥市</w:t>
            </w:r>
            <w:r>
              <w:rPr>
                <w:rFonts w:hint="eastAsia"/>
                <w:bCs/>
                <w:color w:val="000000"/>
                <w:sz w:val="24"/>
              </w:rPr>
              <w:t>循环经济示范园龙兴大道与乳泉路交口东南侧</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sz w:val="24"/>
              </w:rPr>
            </w:pPr>
            <w:r>
              <w:rPr>
                <w:color w:val="000000"/>
                <w:sz w:val="24"/>
              </w:rPr>
              <w:t>玻璃</w:t>
            </w:r>
            <w:r>
              <w:rPr>
                <w:rFonts w:hint="eastAsia"/>
                <w:color w:val="000000"/>
                <w:sz w:val="24"/>
              </w:rPr>
              <w:t>深加工</w:t>
            </w:r>
            <w:r>
              <w:rPr>
                <w:color w:val="000000"/>
                <w:sz w:val="2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sz w:val="24"/>
              </w:rPr>
            </w:pPr>
            <w:r>
              <w:rPr>
                <w:rFonts w:hint="eastAsia"/>
                <w:snapToGrid w:val="0"/>
                <w:kern w:val="0"/>
                <w:sz w:val="24"/>
              </w:rPr>
              <w:t>安徽省振兴节能科技有限公司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     改扩建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sz w:val="24"/>
              </w:rPr>
            </w:pPr>
            <w:r>
              <w:rPr>
                <w:kern w:val="0"/>
                <w:sz w:val="24"/>
              </w:rPr>
              <w:t>安徽省合肥市</w:t>
            </w:r>
            <w:r>
              <w:rPr>
                <w:rFonts w:hint="eastAsia"/>
                <w:bCs/>
                <w:color w:val="000000"/>
                <w:sz w:val="24"/>
              </w:rPr>
              <w:t>循环经济示范园龙兴大道与乳泉路交口东南侧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sz w:val="24"/>
              </w:rPr>
            </w:pPr>
            <w:r>
              <w:rPr>
                <w:rFonts w:hint="eastAsia"/>
                <w:snapToGrid w:val="0"/>
                <w:kern w:val="0"/>
                <w:sz w:val="24"/>
              </w:rPr>
              <w:t>节能安全玻璃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color w:val="FF0000"/>
                <w:sz w:val="24"/>
              </w:rPr>
            </w:pPr>
            <w:r>
              <w:rPr>
                <w:rFonts w:hint="eastAsia"/>
                <w:snapToGrid w:val="0"/>
                <w:kern w:val="0"/>
                <w:sz w:val="24"/>
              </w:rPr>
              <w:t>年产153.75万平方米节能安全玻璃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color w:val="FF0000"/>
                <w:sz w:val="24"/>
              </w:rPr>
            </w:pPr>
            <w:r>
              <w:rPr>
                <w:rFonts w:hint="eastAsia"/>
                <w:snapToGrid w:val="0"/>
                <w:kern w:val="0"/>
                <w:sz w:val="24"/>
              </w:rPr>
              <w:t>年产153.75万平方米节能安全玻璃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617" w:type="dxa"/>
            <w:gridSpan w:val="2"/>
            <w:vAlign w:val="center"/>
          </w:tcPr>
          <w:p>
            <w:pPr>
              <w:jc w:val="center"/>
              <w:rPr>
                <w:color w:val="FF0000"/>
                <w:sz w:val="24"/>
              </w:rPr>
            </w:pPr>
            <w:r>
              <w:rPr>
                <w:rFonts w:hint="eastAsia"/>
                <w:sz w:val="24"/>
              </w:rPr>
              <w:t>2020年11月</w:t>
            </w:r>
          </w:p>
        </w:tc>
        <w:tc>
          <w:tcPr>
            <w:tcW w:w="2445" w:type="dxa"/>
            <w:gridSpan w:val="2"/>
            <w:vAlign w:val="center"/>
          </w:tcPr>
          <w:p>
            <w:pPr>
              <w:jc w:val="center"/>
              <w:rPr>
                <w:sz w:val="24"/>
              </w:rPr>
            </w:pPr>
            <w:r>
              <w:rPr>
                <w:sz w:val="24"/>
              </w:rPr>
              <w:t>开工建设时间</w:t>
            </w:r>
          </w:p>
        </w:tc>
        <w:tc>
          <w:tcPr>
            <w:tcW w:w="2839" w:type="dxa"/>
            <w:gridSpan w:val="3"/>
            <w:vAlign w:val="center"/>
          </w:tcPr>
          <w:p>
            <w:pPr>
              <w:jc w:val="center"/>
              <w:rPr>
                <w:sz w:val="24"/>
              </w:rPr>
            </w:pPr>
            <w:r>
              <w:rPr>
                <w:rFonts w:hint="eastAsia"/>
                <w:sz w:val="24"/>
              </w:rPr>
              <w:t>2020</w:t>
            </w:r>
            <w:r>
              <w:rPr>
                <w:sz w:val="24"/>
              </w:rPr>
              <w:t>年</w:t>
            </w:r>
            <w:r>
              <w:rPr>
                <w:rFonts w:hint="eastAsia"/>
                <w:sz w:val="24"/>
              </w:rPr>
              <w:t>12</w:t>
            </w:r>
            <w:r>
              <w:rPr>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调试时间</w:t>
            </w:r>
          </w:p>
        </w:tc>
        <w:tc>
          <w:tcPr>
            <w:tcW w:w="2617" w:type="dxa"/>
            <w:gridSpan w:val="2"/>
            <w:vAlign w:val="center"/>
          </w:tcPr>
          <w:p>
            <w:pPr>
              <w:jc w:val="center"/>
              <w:rPr>
                <w:color w:val="FF0000"/>
                <w:sz w:val="24"/>
              </w:rPr>
            </w:pPr>
            <w:r>
              <w:rPr>
                <w:sz w:val="24"/>
              </w:rPr>
              <w:t>20</w:t>
            </w:r>
            <w:r>
              <w:rPr>
                <w:rFonts w:hint="eastAsia"/>
                <w:sz w:val="24"/>
              </w:rPr>
              <w:t>21</w:t>
            </w:r>
            <w:r>
              <w:rPr>
                <w:sz w:val="24"/>
              </w:rPr>
              <w:t>年</w:t>
            </w:r>
            <w:r>
              <w:rPr>
                <w:rFonts w:hint="eastAsia"/>
                <w:sz w:val="24"/>
              </w:rPr>
              <w:t>12</w:t>
            </w:r>
            <w:r>
              <w:rPr>
                <w:sz w:val="24"/>
              </w:rPr>
              <w:t>月</w:t>
            </w:r>
          </w:p>
        </w:tc>
        <w:tc>
          <w:tcPr>
            <w:tcW w:w="2445" w:type="dxa"/>
            <w:gridSpan w:val="2"/>
            <w:vAlign w:val="center"/>
          </w:tcPr>
          <w:p>
            <w:pPr>
              <w:jc w:val="center"/>
              <w:rPr>
                <w:sz w:val="24"/>
              </w:rPr>
            </w:pPr>
            <w:r>
              <w:rPr>
                <w:sz w:val="24"/>
              </w:rPr>
              <w:t>验收现场监测时间</w:t>
            </w:r>
          </w:p>
        </w:tc>
        <w:tc>
          <w:tcPr>
            <w:tcW w:w="2839" w:type="dxa"/>
            <w:gridSpan w:val="3"/>
            <w:vAlign w:val="center"/>
          </w:tcPr>
          <w:p>
            <w:pPr>
              <w:jc w:val="center"/>
              <w:rPr>
                <w:rFonts w:hint="eastAsia" w:eastAsia="宋体"/>
                <w:sz w:val="24"/>
                <w:lang w:eastAsia="zh-CN"/>
              </w:rPr>
            </w:pPr>
            <w:r>
              <w:rPr>
                <w:rFonts w:hint="eastAsia"/>
                <w:sz w:val="24"/>
              </w:rPr>
              <w:t>2022.</w:t>
            </w:r>
            <w:r>
              <w:rPr>
                <w:rFonts w:hint="eastAsia"/>
                <w:sz w:val="24"/>
                <w:lang w:val="en-US" w:eastAsia="zh-CN"/>
              </w:rPr>
              <w:t>0</w:t>
            </w:r>
            <w:r>
              <w:rPr>
                <w:rFonts w:hint="eastAsia"/>
                <w:sz w:val="24"/>
              </w:rPr>
              <w:t>2.</w:t>
            </w:r>
            <w:r>
              <w:rPr>
                <w:rFonts w:hint="eastAsia"/>
                <w:sz w:val="24"/>
                <w:lang w:val="en-US" w:eastAsia="zh-CN"/>
              </w:rPr>
              <w:t>09</w:t>
            </w:r>
            <w:r>
              <w:rPr>
                <w:rFonts w:hint="eastAsia"/>
                <w:sz w:val="24"/>
              </w:rPr>
              <w:t>～2022.</w:t>
            </w:r>
            <w:r>
              <w:rPr>
                <w:rFonts w:hint="eastAsia"/>
                <w:sz w:val="24"/>
                <w:lang w:val="en-US" w:eastAsia="zh-CN"/>
              </w:rPr>
              <w:t>0</w:t>
            </w:r>
            <w:r>
              <w:rPr>
                <w:rFonts w:hint="eastAsia"/>
                <w:sz w:val="24"/>
              </w:rPr>
              <w:t>2.1</w:t>
            </w:r>
            <w:r>
              <w:rPr>
                <w:rFonts w:hint="eastAsia"/>
                <w:sz w:val="24"/>
                <w:lang w:val="en-US" w:eastAsia="zh-CN"/>
              </w:rPr>
              <w:t>0</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617" w:type="dxa"/>
            <w:gridSpan w:val="2"/>
            <w:vAlign w:val="center"/>
          </w:tcPr>
          <w:p>
            <w:pPr>
              <w:jc w:val="center"/>
              <w:rPr>
                <w:sz w:val="24"/>
              </w:rPr>
            </w:pPr>
            <w:r>
              <w:rPr>
                <w:rFonts w:hint="eastAsia"/>
                <w:sz w:val="24"/>
              </w:rPr>
              <w:t>肥东县环境保护局</w:t>
            </w:r>
          </w:p>
        </w:tc>
        <w:tc>
          <w:tcPr>
            <w:tcW w:w="2445" w:type="dxa"/>
            <w:gridSpan w:val="2"/>
            <w:vAlign w:val="center"/>
          </w:tcPr>
          <w:p>
            <w:pPr>
              <w:jc w:val="center"/>
              <w:rPr>
                <w:sz w:val="24"/>
              </w:rPr>
            </w:pPr>
            <w:r>
              <w:rPr>
                <w:sz w:val="24"/>
              </w:rPr>
              <w:t>环评报告表编制单位</w:t>
            </w:r>
          </w:p>
        </w:tc>
        <w:tc>
          <w:tcPr>
            <w:tcW w:w="2839" w:type="dxa"/>
            <w:gridSpan w:val="3"/>
            <w:vAlign w:val="center"/>
          </w:tcPr>
          <w:p>
            <w:pPr>
              <w:jc w:val="center"/>
              <w:rPr>
                <w:sz w:val="24"/>
              </w:rPr>
            </w:pPr>
            <w:r>
              <w:rPr>
                <w:rFonts w:hint="eastAsia"/>
                <w:sz w:val="24"/>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617" w:type="dxa"/>
            <w:gridSpan w:val="2"/>
            <w:vAlign w:val="center"/>
          </w:tcPr>
          <w:p>
            <w:pPr>
              <w:jc w:val="center"/>
              <w:rPr>
                <w:sz w:val="24"/>
              </w:rPr>
            </w:pPr>
            <w:r>
              <w:rPr>
                <w:rFonts w:hint="eastAsia"/>
                <w:sz w:val="24"/>
              </w:rPr>
              <w:t>安徽启晨环境科技有限公司</w:t>
            </w:r>
          </w:p>
        </w:tc>
        <w:tc>
          <w:tcPr>
            <w:tcW w:w="2445" w:type="dxa"/>
            <w:gridSpan w:val="2"/>
            <w:vAlign w:val="center"/>
          </w:tcPr>
          <w:p>
            <w:pPr>
              <w:jc w:val="center"/>
              <w:rPr>
                <w:sz w:val="24"/>
              </w:rPr>
            </w:pPr>
            <w:r>
              <w:rPr>
                <w:sz w:val="24"/>
              </w:rPr>
              <w:t>环保设施施工单位</w:t>
            </w:r>
          </w:p>
        </w:tc>
        <w:tc>
          <w:tcPr>
            <w:tcW w:w="2839" w:type="dxa"/>
            <w:gridSpan w:val="3"/>
            <w:vAlign w:val="center"/>
          </w:tcPr>
          <w:p>
            <w:pPr>
              <w:jc w:val="center"/>
              <w:rPr>
                <w:sz w:val="24"/>
              </w:rPr>
            </w:pPr>
            <w:r>
              <w:rPr>
                <w:rFonts w:hint="eastAsia"/>
                <w:sz w:val="24"/>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sz w:val="24"/>
              </w:rPr>
            </w:pPr>
            <w:r>
              <w:rPr>
                <w:rFonts w:hint="eastAsia"/>
                <w:sz w:val="24"/>
              </w:rPr>
              <w:t>28038.97</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color w:val="FF0000"/>
                <w:sz w:val="24"/>
              </w:rPr>
            </w:pPr>
            <w:r>
              <w:rPr>
                <w:rFonts w:hint="eastAsia"/>
                <w:sz w:val="24"/>
              </w:rPr>
              <w:t>40</w:t>
            </w:r>
          </w:p>
        </w:tc>
        <w:tc>
          <w:tcPr>
            <w:tcW w:w="964" w:type="dxa"/>
            <w:vAlign w:val="center"/>
          </w:tcPr>
          <w:p>
            <w:pPr>
              <w:jc w:val="center"/>
              <w:rPr>
                <w:sz w:val="24"/>
              </w:rPr>
            </w:pPr>
            <w:r>
              <w:rPr>
                <w:sz w:val="24"/>
              </w:rPr>
              <w:t>比例</w:t>
            </w:r>
          </w:p>
        </w:tc>
        <w:tc>
          <w:tcPr>
            <w:tcW w:w="1875" w:type="dxa"/>
            <w:gridSpan w:val="2"/>
            <w:vAlign w:val="center"/>
          </w:tcPr>
          <w:p>
            <w:pPr>
              <w:jc w:val="center"/>
              <w:rPr>
                <w:color w:val="FF0000"/>
                <w:sz w:val="24"/>
              </w:rPr>
            </w:pPr>
            <w:r>
              <w:rPr>
                <w:rFonts w:hint="eastAsia"/>
                <w:sz w:val="24"/>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color w:val="FF0000"/>
                <w:sz w:val="24"/>
              </w:rPr>
            </w:pPr>
            <w:r>
              <w:rPr>
                <w:sz w:val="24"/>
              </w:rPr>
              <w:t>实际总投资</w:t>
            </w:r>
            <w:r>
              <w:rPr>
                <w:rFonts w:hint="eastAsia"/>
                <w:sz w:val="24"/>
              </w:rPr>
              <w:t>（万元）</w:t>
            </w:r>
          </w:p>
        </w:tc>
        <w:tc>
          <w:tcPr>
            <w:tcW w:w="1717" w:type="dxa"/>
            <w:vAlign w:val="center"/>
          </w:tcPr>
          <w:p>
            <w:pPr>
              <w:jc w:val="center"/>
              <w:rPr>
                <w:color w:val="FF0000"/>
                <w:sz w:val="24"/>
              </w:rPr>
            </w:pPr>
            <w:r>
              <w:rPr>
                <w:rFonts w:hint="eastAsia"/>
                <w:sz w:val="24"/>
              </w:rPr>
              <w:t>14000</w:t>
            </w:r>
          </w:p>
        </w:tc>
        <w:tc>
          <w:tcPr>
            <w:tcW w:w="1920" w:type="dxa"/>
            <w:gridSpan w:val="2"/>
            <w:vAlign w:val="center"/>
          </w:tcPr>
          <w:p>
            <w:pPr>
              <w:jc w:val="center"/>
              <w:rPr>
                <w:color w:val="FF0000"/>
                <w:sz w:val="24"/>
              </w:rPr>
            </w:pPr>
            <w:r>
              <w:rPr>
                <w:sz w:val="24"/>
              </w:rPr>
              <w:t>实际环保投资</w:t>
            </w:r>
            <w:r>
              <w:rPr>
                <w:rFonts w:hint="eastAsia"/>
                <w:sz w:val="24"/>
              </w:rPr>
              <w:t>（万元）</w:t>
            </w:r>
          </w:p>
        </w:tc>
        <w:tc>
          <w:tcPr>
            <w:tcW w:w="1425" w:type="dxa"/>
            <w:vAlign w:val="center"/>
          </w:tcPr>
          <w:p>
            <w:pPr>
              <w:jc w:val="center"/>
              <w:rPr>
                <w:sz w:val="24"/>
              </w:rPr>
            </w:pPr>
            <w:r>
              <w:rPr>
                <w:rFonts w:hint="eastAsia"/>
                <w:sz w:val="24"/>
              </w:rPr>
              <w:t>60</w:t>
            </w:r>
          </w:p>
        </w:tc>
        <w:tc>
          <w:tcPr>
            <w:tcW w:w="964" w:type="dxa"/>
            <w:vAlign w:val="center"/>
          </w:tcPr>
          <w:p>
            <w:pPr>
              <w:jc w:val="center"/>
              <w:rPr>
                <w:sz w:val="24"/>
              </w:rPr>
            </w:pPr>
            <w:r>
              <w:rPr>
                <w:sz w:val="24"/>
              </w:rPr>
              <w:t>比例</w:t>
            </w:r>
          </w:p>
        </w:tc>
        <w:tc>
          <w:tcPr>
            <w:tcW w:w="1875" w:type="dxa"/>
            <w:gridSpan w:val="2"/>
            <w:vAlign w:val="center"/>
          </w:tcPr>
          <w:p>
            <w:pPr>
              <w:jc w:val="center"/>
              <w:rPr>
                <w:sz w:val="24"/>
              </w:rPr>
            </w:pPr>
            <w:r>
              <w:rPr>
                <w:rFonts w:hint="eastAsia"/>
                <w:sz w:val="24"/>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20"/>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w:t>
            </w:r>
            <w:bookmarkStart w:id="19" w:name="_GoBack"/>
            <w:bookmarkEnd w:id="19"/>
            <w:r>
              <w:rPr>
                <w:sz w:val="24"/>
              </w:rPr>
              <w:t>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26"/>
                <w:b w:val="0"/>
                <w:bCs/>
                <w:shd w:val="clear" w:color="auto" w:fill="FFFFFF"/>
              </w:rPr>
              <w:t>；</w:t>
            </w:r>
          </w:p>
          <w:p>
            <w:pPr>
              <w:spacing w:line="360" w:lineRule="auto"/>
              <w:rPr>
                <w:sz w:val="24"/>
              </w:rPr>
            </w:pPr>
            <w:r>
              <w:rPr>
                <w:rFonts w:hint="eastAsia"/>
                <w:sz w:val="24"/>
              </w:rPr>
              <w:t>6）肥东县环境保护局《关于</w:t>
            </w:r>
            <w:r>
              <w:rPr>
                <w:rFonts w:hint="eastAsia"/>
                <w:snapToGrid w:val="0"/>
                <w:kern w:val="0"/>
                <w:sz w:val="24"/>
              </w:rPr>
              <w:t>安徽省振兴节能科技有限公司玻璃深加工</w:t>
            </w:r>
            <w:r>
              <w:rPr>
                <w:kern w:val="0"/>
                <w:sz w:val="24"/>
              </w:rPr>
              <w:t>项目</w:t>
            </w:r>
            <w:r>
              <w:rPr>
                <w:rFonts w:hint="eastAsia"/>
                <w:sz w:val="24"/>
              </w:rPr>
              <w:t>环境影响报告表的批复意见》</w:t>
            </w:r>
            <w:r>
              <w:rPr>
                <w:sz w:val="24"/>
              </w:rPr>
              <w:t>（</w:t>
            </w:r>
            <w:r>
              <w:rPr>
                <w:rFonts w:hint="eastAsia"/>
                <w:sz w:val="24"/>
              </w:rPr>
              <w:t>东环建审</w:t>
            </w:r>
            <w:r>
              <w:rPr>
                <w:sz w:val="24"/>
              </w:rPr>
              <w:t>[20</w:t>
            </w:r>
            <w:r>
              <w:rPr>
                <w:rFonts w:hint="eastAsia"/>
                <w:sz w:val="24"/>
              </w:rPr>
              <w:t>20</w:t>
            </w:r>
            <w:r>
              <w:rPr>
                <w:sz w:val="24"/>
              </w:rPr>
              <w:t>]</w:t>
            </w:r>
            <w:r>
              <w:rPr>
                <w:rFonts w:hint="eastAsia"/>
                <w:sz w:val="24"/>
              </w:rPr>
              <w:t>199</w:t>
            </w:r>
            <w:r>
              <w:rPr>
                <w:sz w:val="24"/>
              </w:rPr>
              <w:t>号），20</w:t>
            </w:r>
            <w:r>
              <w:rPr>
                <w:rFonts w:hint="eastAsia"/>
                <w:sz w:val="24"/>
              </w:rPr>
              <w:t>20</w:t>
            </w:r>
            <w:r>
              <w:rPr>
                <w:sz w:val="24"/>
              </w:rPr>
              <w:t>年</w:t>
            </w:r>
            <w:r>
              <w:rPr>
                <w:rFonts w:hint="eastAsia"/>
                <w:sz w:val="24"/>
              </w:rPr>
              <w:t>11</w:t>
            </w:r>
            <w:r>
              <w:rPr>
                <w:sz w:val="24"/>
              </w:rPr>
              <w:t>月</w:t>
            </w:r>
            <w:r>
              <w:rPr>
                <w:rFonts w:hint="eastAsia"/>
                <w:sz w:val="24"/>
              </w:rPr>
              <w:t>24</w:t>
            </w:r>
            <w:r>
              <w:rPr>
                <w:sz w:val="24"/>
              </w:rPr>
              <w:t>日；</w:t>
            </w:r>
          </w:p>
          <w:p>
            <w:pPr>
              <w:spacing w:line="360" w:lineRule="auto"/>
              <w:rPr>
                <w:color w:val="FF0000"/>
                <w:sz w:val="24"/>
              </w:rPr>
            </w:pPr>
            <w:r>
              <w:rPr>
                <w:rFonts w:hint="eastAsia"/>
                <w:sz w:val="24"/>
              </w:rPr>
              <w:t>7）</w:t>
            </w:r>
            <w:r>
              <w:rPr>
                <w:rFonts w:hint="eastAsia"/>
                <w:snapToGrid w:val="0"/>
                <w:kern w:val="0"/>
                <w:sz w:val="24"/>
              </w:rPr>
              <w:t>安徽省振兴节能科技有限公司</w:t>
            </w:r>
            <w:r>
              <w:rPr>
                <w:sz w:val="24"/>
              </w:rPr>
              <w:t>提供的相关技术、管理资料。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firstLine="480" w:firstLineChars="200"/>
              <w:rPr>
                <w:sz w:val="24"/>
              </w:rPr>
            </w:pPr>
            <w:r>
              <w:rPr>
                <w:rFonts w:hint="eastAsia"/>
                <w:sz w:val="24"/>
              </w:rPr>
              <w:t>1、水污染物排放标准</w:t>
            </w:r>
          </w:p>
          <w:p>
            <w:pPr>
              <w:widowControl/>
              <w:spacing w:line="360" w:lineRule="auto"/>
              <w:ind w:firstLine="480" w:firstLineChars="200"/>
              <w:jc w:val="left"/>
              <w:rPr>
                <w:b/>
                <w:color w:val="000000"/>
                <w:szCs w:val="21"/>
              </w:rPr>
            </w:pPr>
            <w:r>
              <w:rPr>
                <w:color w:val="000000"/>
                <w:kern w:val="0"/>
                <w:sz w:val="24"/>
                <w:lang w:bidi="ar"/>
              </w:rPr>
              <w:t>项目废水排放执行</w:t>
            </w:r>
            <w:r>
              <w:rPr>
                <w:rFonts w:hint="eastAsia"/>
                <w:color w:val="000000"/>
                <w:kern w:val="0"/>
                <w:sz w:val="24"/>
                <w:lang w:bidi="ar"/>
              </w:rPr>
              <w:t>联熹</w:t>
            </w:r>
            <w:r>
              <w:rPr>
                <w:color w:val="000000"/>
                <w:kern w:val="0"/>
                <w:sz w:val="24"/>
                <w:lang w:bidi="ar"/>
              </w:rPr>
              <w:t>污水处理厂接管要求和《污水综合排放标准》</w:t>
            </w:r>
            <w:r>
              <w:rPr>
                <w:rFonts w:hint="eastAsia"/>
                <w:color w:val="000000"/>
                <w:kern w:val="0"/>
                <w:sz w:val="24"/>
                <w:lang w:bidi="ar"/>
              </w:rPr>
              <w:t>（</w:t>
            </w:r>
            <w:r>
              <w:rPr>
                <w:color w:val="000000"/>
                <w:kern w:val="0"/>
                <w:sz w:val="24"/>
                <w:lang w:bidi="ar"/>
              </w:rPr>
              <w:t>GB8978-1996</w:t>
            </w:r>
            <w:r>
              <w:rPr>
                <w:rFonts w:hint="eastAsia"/>
                <w:color w:val="000000"/>
                <w:kern w:val="0"/>
                <w:sz w:val="24"/>
                <w:lang w:bidi="ar"/>
              </w:rPr>
              <w:t>）</w:t>
            </w:r>
            <w:r>
              <w:rPr>
                <w:color w:val="000000"/>
                <w:kern w:val="0"/>
                <w:sz w:val="24"/>
                <w:lang w:bidi="ar"/>
              </w:rPr>
              <w:t>中的三级标准；</w:t>
            </w:r>
            <w:r>
              <w:rPr>
                <w:color w:val="000000"/>
                <w:sz w:val="24"/>
              </w:rPr>
              <w:t>具体见下表。</w:t>
            </w:r>
          </w:p>
          <w:p>
            <w:pPr>
              <w:spacing w:line="360" w:lineRule="auto"/>
              <w:jc w:val="center"/>
              <w:rPr>
                <w:rFonts w:hAnsi="宋体"/>
                <w:b/>
                <w:sz w:val="24"/>
                <w:lang w:val="zh-CN"/>
              </w:rPr>
            </w:pPr>
            <w:r>
              <w:rPr>
                <w:rFonts w:hint="eastAsia" w:hAnsi="宋体"/>
                <w:b/>
                <w:sz w:val="24"/>
                <w:lang w:val="zh-CN"/>
              </w:rPr>
              <w:t>表</w:t>
            </w:r>
            <w:r>
              <w:rPr>
                <w:rFonts w:hint="eastAsia"/>
                <w:b/>
                <w:sz w:val="24"/>
              </w:rPr>
              <w:t>1-1</w:t>
            </w:r>
            <w:r>
              <w:rPr>
                <w:rFonts w:hAnsi="宋体"/>
                <w:b/>
                <w:sz w:val="24"/>
                <w:lang w:val="zh-CN"/>
              </w:rPr>
              <w:t xml:space="preserve"> </w:t>
            </w:r>
            <w:r>
              <w:rPr>
                <w:rFonts w:hint="eastAsia" w:hAnsi="宋体"/>
                <w:b/>
                <w:sz w:val="24"/>
                <w:lang w:val="zh-CN"/>
              </w:rPr>
              <w:t>废水排放标准</w:t>
            </w:r>
            <w:r>
              <w:rPr>
                <w:rFonts w:hint="eastAsia" w:hAnsi="宋体"/>
                <w:b/>
                <w:sz w:val="24"/>
              </w:rPr>
              <w:t xml:space="preserve">   </w:t>
            </w:r>
            <w:r>
              <w:rPr>
                <w:rFonts w:hint="eastAsia" w:hAnsi="宋体"/>
                <w:b/>
                <w:sz w:val="24"/>
                <w:lang w:val="zh-CN"/>
              </w:rPr>
              <w:t>单位：</w:t>
            </w:r>
            <w:r>
              <w:rPr>
                <w:rFonts w:hAnsi="宋体"/>
                <w:b/>
                <w:sz w:val="24"/>
                <w:lang w:val="zh-CN"/>
              </w:rPr>
              <w:t>mg/L</w:t>
            </w:r>
            <w:r>
              <w:rPr>
                <w:rFonts w:hint="eastAsia" w:hAnsi="宋体"/>
                <w:b/>
                <w:sz w:val="24"/>
                <w:lang w:val="zh-CN"/>
              </w:rPr>
              <w:t>（</w:t>
            </w:r>
            <w:r>
              <w:rPr>
                <w:rFonts w:hAnsi="宋体"/>
                <w:b/>
                <w:sz w:val="24"/>
                <w:lang w:val="zh-CN"/>
              </w:rPr>
              <w:t xml:space="preserve">pH </w:t>
            </w:r>
            <w:r>
              <w:rPr>
                <w:rFonts w:hint="eastAsia" w:hAnsi="宋体"/>
                <w:b/>
                <w:sz w:val="24"/>
                <w:lang w:val="zh-CN"/>
              </w:rPr>
              <w:t>为无量纲）</w:t>
            </w:r>
          </w:p>
          <w:tbl>
            <w:tblPr>
              <w:tblStyle w:val="23"/>
              <w:tblW w:w="765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1"/>
              <w:gridCol w:w="760"/>
              <w:gridCol w:w="953"/>
              <w:gridCol w:w="1006"/>
              <w:gridCol w:w="579"/>
              <w:gridCol w:w="672"/>
              <w:gridCol w:w="6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74" w:type="dxa"/>
                  <w:vAlign w:val="center"/>
                </w:tcPr>
                <w:p>
                  <w:pPr>
                    <w:pStyle w:val="39"/>
                    <w:jc w:val="center"/>
                    <w:rPr>
                      <w:b/>
                      <w:color w:val="000000"/>
                      <w:szCs w:val="21"/>
                    </w:rPr>
                  </w:pPr>
                  <w:r>
                    <w:rPr>
                      <w:b/>
                      <w:color w:val="000000"/>
                      <w:szCs w:val="21"/>
                    </w:rPr>
                    <w:t>污染物名称</w:t>
                  </w:r>
                </w:p>
              </w:tc>
              <w:tc>
                <w:tcPr>
                  <w:tcW w:w="848" w:type="dxa"/>
                  <w:vAlign w:val="center"/>
                </w:tcPr>
                <w:p>
                  <w:pPr>
                    <w:pStyle w:val="39"/>
                    <w:jc w:val="center"/>
                    <w:rPr>
                      <w:rFonts w:eastAsia="宋体"/>
                      <w:b/>
                      <w:color w:val="000000"/>
                      <w:spacing w:val="-3"/>
                      <w:szCs w:val="21"/>
                      <w:lang w:val="en-US"/>
                    </w:rPr>
                  </w:pPr>
                  <w:r>
                    <w:rPr>
                      <w:b/>
                      <w:color w:val="000000"/>
                      <w:spacing w:val="-3"/>
                      <w:szCs w:val="21"/>
                      <w:lang w:val="en-US"/>
                    </w:rPr>
                    <w:t>pH</w:t>
                  </w:r>
                </w:p>
              </w:tc>
              <w:tc>
                <w:tcPr>
                  <w:tcW w:w="1065" w:type="dxa"/>
                  <w:vAlign w:val="center"/>
                </w:tcPr>
                <w:p>
                  <w:pPr>
                    <w:pStyle w:val="39"/>
                    <w:jc w:val="center"/>
                    <w:rPr>
                      <w:b/>
                      <w:color w:val="000000"/>
                      <w:szCs w:val="21"/>
                    </w:rPr>
                  </w:pPr>
                  <w:r>
                    <w:rPr>
                      <w:b/>
                      <w:color w:val="000000"/>
                      <w:spacing w:val="-3"/>
                      <w:szCs w:val="21"/>
                    </w:rPr>
                    <w:t>COD</w:t>
                  </w:r>
                </w:p>
              </w:tc>
              <w:tc>
                <w:tcPr>
                  <w:tcW w:w="1125" w:type="dxa"/>
                  <w:vAlign w:val="center"/>
                </w:tcPr>
                <w:p>
                  <w:pPr>
                    <w:pStyle w:val="39"/>
                    <w:jc w:val="center"/>
                    <w:rPr>
                      <w:b/>
                      <w:color w:val="000000"/>
                      <w:szCs w:val="21"/>
                    </w:rPr>
                  </w:pPr>
                  <w:r>
                    <w:rPr>
                      <w:b/>
                      <w:color w:val="000000"/>
                      <w:spacing w:val="1"/>
                      <w:position w:val="1"/>
                      <w:szCs w:val="21"/>
                    </w:rPr>
                    <w:t>BOD</w:t>
                  </w:r>
                  <w:r>
                    <w:rPr>
                      <w:b/>
                      <w:color w:val="000000"/>
                      <w:szCs w:val="21"/>
                      <w:vertAlign w:val="subscript"/>
                    </w:rPr>
                    <w:t>5</w:t>
                  </w:r>
                </w:p>
              </w:tc>
              <w:tc>
                <w:tcPr>
                  <w:tcW w:w="645" w:type="dxa"/>
                  <w:vAlign w:val="center"/>
                </w:tcPr>
                <w:p>
                  <w:pPr>
                    <w:pStyle w:val="39"/>
                    <w:ind w:right="1"/>
                    <w:jc w:val="center"/>
                    <w:rPr>
                      <w:b/>
                      <w:color w:val="000000"/>
                      <w:szCs w:val="21"/>
                    </w:rPr>
                  </w:pPr>
                  <w:r>
                    <w:rPr>
                      <w:b/>
                      <w:color w:val="000000"/>
                      <w:spacing w:val="1"/>
                      <w:szCs w:val="21"/>
                    </w:rPr>
                    <w:t>SS</w:t>
                  </w:r>
                </w:p>
              </w:tc>
              <w:tc>
                <w:tcPr>
                  <w:tcW w:w="750" w:type="dxa"/>
                  <w:vAlign w:val="center"/>
                </w:tcPr>
                <w:p>
                  <w:pPr>
                    <w:pStyle w:val="39"/>
                    <w:ind w:right="1"/>
                    <w:jc w:val="center"/>
                    <w:rPr>
                      <w:rFonts w:eastAsia="宋体"/>
                      <w:b/>
                      <w:spacing w:val="1"/>
                      <w:szCs w:val="21"/>
                      <w:lang w:val="en-US"/>
                    </w:rPr>
                  </w:pPr>
                  <w:r>
                    <w:rPr>
                      <w:rFonts w:hint="eastAsia"/>
                      <w:b/>
                      <w:spacing w:val="1"/>
                      <w:szCs w:val="21"/>
                      <w:lang w:val="en-US"/>
                    </w:rPr>
                    <w:t>NH</w:t>
                  </w:r>
                  <w:r>
                    <w:rPr>
                      <w:rFonts w:hint="eastAsia"/>
                      <w:b/>
                      <w:spacing w:val="1"/>
                      <w:szCs w:val="21"/>
                      <w:vertAlign w:val="subscript"/>
                      <w:lang w:val="en-US"/>
                    </w:rPr>
                    <w:t>3</w:t>
                  </w:r>
                  <w:r>
                    <w:rPr>
                      <w:rFonts w:hint="eastAsia"/>
                      <w:b/>
                      <w:spacing w:val="1"/>
                      <w:szCs w:val="21"/>
                      <w:lang w:val="en-US"/>
                    </w:rPr>
                    <w:t>-N</w:t>
                  </w:r>
                </w:p>
              </w:tc>
              <w:tc>
                <w:tcPr>
                  <w:tcW w:w="750" w:type="dxa"/>
                  <w:vAlign w:val="center"/>
                </w:tcPr>
                <w:p>
                  <w:pPr>
                    <w:pStyle w:val="39"/>
                    <w:ind w:right="1"/>
                    <w:jc w:val="center"/>
                    <w:rPr>
                      <w:b/>
                      <w:spacing w:val="1"/>
                      <w:szCs w:val="21"/>
                      <w:lang w:val="en-US"/>
                    </w:rPr>
                  </w:pPr>
                  <w:r>
                    <w:rPr>
                      <w:rFonts w:hint="eastAsia"/>
                      <w:b/>
                      <w:spacing w:val="1"/>
                      <w:szCs w:val="21"/>
                      <w:lang w:val="en-US"/>
                    </w:rPr>
                    <w:t>TP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74" w:type="dxa"/>
                  <w:vAlign w:val="center"/>
                </w:tcPr>
                <w:p>
                  <w:pPr>
                    <w:autoSpaceDE w:val="0"/>
                    <w:autoSpaceDN w:val="0"/>
                    <w:adjustRightInd w:val="0"/>
                    <w:jc w:val="center"/>
                    <w:rPr>
                      <w:color w:val="000000"/>
                      <w:szCs w:val="21"/>
                    </w:rPr>
                  </w:pPr>
                  <w:r>
                    <w:rPr>
                      <w:rFonts w:hint="eastAsia"/>
                      <w:color w:val="000000"/>
                      <w:szCs w:val="21"/>
                      <w:lang w:eastAsia="zh-CN"/>
                    </w:rPr>
                    <w:t>联熹</w:t>
                  </w:r>
                  <w:r>
                    <w:rPr>
                      <w:rFonts w:hint="eastAsia"/>
                      <w:color w:val="000000"/>
                      <w:szCs w:val="21"/>
                    </w:rPr>
                    <w:t>污水处理厂接管标准</w:t>
                  </w:r>
                </w:p>
              </w:tc>
              <w:tc>
                <w:tcPr>
                  <w:tcW w:w="848" w:type="dxa"/>
                  <w:vAlign w:val="center"/>
                </w:tcPr>
                <w:p>
                  <w:pPr>
                    <w:autoSpaceDE w:val="0"/>
                    <w:autoSpaceDN w:val="0"/>
                    <w:adjustRightInd w:val="0"/>
                    <w:jc w:val="center"/>
                    <w:rPr>
                      <w:color w:val="000000"/>
                      <w:szCs w:val="21"/>
                    </w:rPr>
                  </w:pPr>
                  <w:r>
                    <w:rPr>
                      <w:color w:val="000000"/>
                      <w:szCs w:val="21"/>
                    </w:rPr>
                    <w:t>6~9</w:t>
                  </w:r>
                </w:p>
              </w:tc>
              <w:tc>
                <w:tcPr>
                  <w:tcW w:w="1065" w:type="dxa"/>
                  <w:vAlign w:val="center"/>
                </w:tcPr>
                <w:p>
                  <w:pPr>
                    <w:autoSpaceDE w:val="0"/>
                    <w:autoSpaceDN w:val="0"/>
                    <w:adjustRightInd w:val="0"/>
                    <w:jc w:val="center"/>
                    <w:rPr>
                      <w:color w:val="000000"/>
                      <w:szCs w:val="21"/>
                    </w:rPr>
                  </w:pPr>
                  <w:r>
                    <w:rPr>
                      <w:rFonts w:hint="eastAsia"/>
                      <w:color w:val="000000"/>
                      <w:szCs w:val="21"/>
                    </w:rPr>
                    <w:t>500</w:t>
                  </w:r>
                </w:p>
              </w:tc>
              <w:tc>
                <w:tcPr>
                  <w:tcW w:w="1125" w:type="dxa"/>
                  <w:vAlign w:val="center"/>
                </w:tcPr>
                <w:p>
                  <w:pPr>
                    <w:autoSpaceDE w:val="0"/>
                    <w:autoSpaceDN w:val="0"/>
                    <w:adjustRightInd w:val="0"/>
                    <w:jc w:val="center"/>
                    <w:rPr>
                      <w:color w:val="000000"/>
                      <w:szCs w:val="21"/>
                    </w:rPr>
                  </w:pPr>
                  <w:r>
                    <w:rPr>
                      <w:rFonts w:hint="eastAsia"/>
                      <w:color w:val="000000"/>
                      <w:szCs w:val="21"/>
                    </w:rPr>
                    <w:t>300</w:t>
                  </w:r>
                </w:p>
              </w:tc>
              <w:tc>
                <w:tcPr>
                  <w:tcW w:w="645" w:type="dxa"/>
                  <w:vAlign w:val="center"/>
                </w:tcPr>
                <w:p>
                  <w:pPr>
                    <w:autoSpaceDE w:val="0"/>
                    <w:autoSpaceDN w:val="0"/>
                    <w:adjustRightInd w:val="0"/>
                    <w:jc w:val="center"/>
                    <w:rPr>
                      <w:color w:val="000000"/>
                      <w:szCs w:val="21"/>
                    </w:rPr>
                  </w:pPr>
                  <w:r>
                    <w:rPr>
                      <w:rFonts w:hint="eastAsia"/>
                      <w:color w:val="000000"/>
                      <w:szCs w:val="21"/>
                    </w:rPr>
                    <w:t>400</w:t>
                  </w:r>
                </w:p>
              </w:tc>
              <w:tc>
                <w:tcPr>
                  <w:tcW w:w="750" w:type="dxa"/>
                  <w:vAlign w:val="center"/>
                </w:tcPr>
                <w:p>
                  <w:pPr>
                    <w:autoSpaceDE w:val="0"/>
                    <w:autoSpaceDN w:val="0"/>
                    <w:adjustRightInd w:val="0"/>
                    <w:jc w:val="center"/>
                    <w:rPr>
                      <w:szCs w:val="21"/>
                    </w:rPr>
                  </w:pPr>
                  <w:r>
                    <w:rPr>
                      <w:rFonts w:hint="eastAsia"/>
                      <w:szCs w:val="21"/>
                    </w:rPr>
                    <w:t>25</w:t>
                  </w:r>
                </w:p>
              </w:tc>
              <w:tc>
                <w:tcPr>
                  <w:tcW w:w="750" w:type="dxa"/>
                  <w:vAlign w:val="center"/>
                </w:tcPr>
                <w:p>
                  <w:pPr>
                    <w:autoSpaceDE w:val="0"/>
                    <w:autoSpaceDN w:val="0"/>
                    <w:adjustRightInd w:val="0"/>
                    <w:jc w:val="center"/>
                  </w:pPr>
                  <w:r>
                    <w:rPr>
                      <w:rFonts w:hint="eastAsia"/>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74" w:type="dxa"/>
                  <w:vAlign w:val="center"/>
                </w:tcPr>
                <w:p>
                  <w:pPr>
                    <w:snapToGrid w:val="0"/>
                    <w:jc w:val="center"/>
                    <w:rPr>
                      <w:color w:val="000000"/>
                      <w:szCs w:val="21"/>
                    </w:rPr>
                  </w:pPr>
                  <w:r>
                    <w:rPr>
                      <w:color w:val="000000"/>
                      <w:spacing w:val="-4"/>
                      <w:szCs w:val="21"/>
                    </w:rPr>
                    <w:t>《污水综合排放标准》（GB8978-1996）中</w:t>
                  </w:r>
                  <w:r>
                    <w:rPr>
                      <w:rFonts w:hint="eastAsia"/>
                      <w:color w:val="000000"/>
                      <w:spacing w:val="-4"/>
                      <w:szCs w:val="21"/>
                    </w:rPr>
                    <w:t>三</w:t>
                  </w:r>
                  <w:r>
                    <w:rPr>
                      <w:color w:val="000000"/>
                      <w:spacing w:val="-4"/>
                      <w:szCs w:val="21"/>
                    </w:rPr>
                    <w:t>级标准</w:t>
                  </w:r>
                </w:p>
              </w:tc>
              <w:tc>
                <w:tcPr>
                  <w:tcW w:w="848" w:type="dxa"/>
                  <w:vAlign w:val="center"/>
                </w:tcPr>
                <w:p>
                  <w:pPr>
                    <w:autoSpaceDE w:val="0"/>
                    <w:autoSpaceDN w:val="0"/>
                    <w:adjustRightInd w:val="0"/>
                    <w:jc w:val="center"/>
                    <w:rPr>
                      <w:color w:val="000000"/>
                      <w:szCs w:val="21"/>
                    </w:rPr>
                  </w:pPr>
                  <w:r>
                    <w:rPr>
                      <w:color w:val="000000"/>
                      <w:szCs w:val="21"/>
                    </w:rPr>
                    <w:t>6~9</w:t>
                  </w:r>
                </w:p>
              </w:tc>
              <w:tc>
                <w:tcPr>
                  <w:tcW w:w="1065" w:type="dxa"/>
                  <w:vAlign w:val="center"/>
                </w:tcPr>
                <w:p>
                  <w:pPr>
                    <w:autoSpaceDE w:val="0"/>
                    <w:autoSpaceDN w:val="0"/>
                    <w:adjustRightInd w:val="0"/>
                    <w:jc w:val="center"/>
                    <w:rPr>
                      <w:color w:val="000000"/>
                      <w:szCs w:val="21"/>
                    </w:rPr>
                  </w:pPr>
                  <w:r>
                    <w:rPr>
                      <w:rFonts w:hint="eastAsia"/>
                      <w:color w:val="000000"/>
                      <w:szCs w:val="21"/>
                    </w:rPr>
                    <w:t>500</w:t>
                  </w:r>
                </w:p>
              </w:tc>
              <w:tc>
                <w:tcPr>
                  <w:tcW w:w="1125" w:type="dxa"/>
                  <w:vAlign w:val="center"/>
                </w:tcPr>
                <w:p>
                  <w:pPr>
                    <w:autoSpaceDE w:val="0"/>
                    <w:autoSpaceDN w:val="0"/>
                    <w:adjustRightInd w:val="0"/>
                    <w:jc w:val="center"/>
                    <w:rPr>
                      <w:color w:val="000000"/>
                      <w:szCs w:val="21"/>
                    </w:rPr>
                  </w:pPr>
                  <w:r>
                    <w:rPr>
                      <w:rFonts w:hint="eastAsia"/>
                      <w:color w:val="000000"/>
                      <w:szCs w:val="21"/>
                    </w:rPr>
                    <w:t>300</w:t>
                  </w:r>
                </w:p>
              </w:tc>
              <w:tc>
                <w:tcPr>
                  <w:tcW w:w="645" w:type="dxa"/>
                  <w:vAlign w:val="center"/>
                </w:tcPr>
                <w:p>
                  <w:pPr>
                    <w:autoSpaceDE w:val="0"/>
                    <w:autoSpaceDN w:val="0"/>
                    <w:adjustRightInd w:val="0"/>
                    <w:jc w:val="center"/>
                    <w:rPr>
                      <w:color w:val="000000"/>
                      <w:szCs w:val="21"/>
                    </w:rPr>
                  </w:pPr>
                  <w:r>
                    <w:rPr>
                      <w:rFonts w:hint="eastAsia"/>
                      <w:color w:val="000000"/>
                      <w:szCs w:val="21"/>
                    </w:rPr>
                    <w:t>400</w:t>
                  </w:r>
                </w:p>
              </w:tc>
              <w:tc>
                <w:tcPr>
                  <w:tcW w:w="750" w:type="dxa"/>
                  <w:vAlign w:val="center"/>
                </w:tcPr>
                <w:p>
                  <w:pPr>
                    <w:autoSpaceDE w:val="0"/>
                    <w:autoSpaceDN w:val="0"/>
                    <w:adjustRightInd w:val="0"/>
                    <w:jc w:val="center"/>
                    <w:rPr>
                      <w:color w:val="000000"/>
                      <w:szCs w:val="21"/>
                    </w:rPr>
                  </w:pPr>
                  <w:r>
                    <w:rPr>
                      <w:rFonts w:hint="eastAsia"/>
                      <w:color w:val="000000"/>
                      <w:szCs w:val="21"/>
                    </w:rPr>
                    <w:t>-</w:t>
                  </w:r>
                </w:p>
              </w:tc>
              <w:tc>
                <w:tcPr>
                  <w:tcW w:w="750" w:type="dxa"/>
                  <w:vAlign w:val="center"/>
                </w:tcPr>
                <w:p>
                  <w:pPr>
                    <w:autoSpaceDE w:val="0"/>
                    <w:autoSpaceDN w:val="0"/>
                    <w:adjustRightInd w:val="0"/>
                    <w:jc w:val="center"/>
                    <w:rPr>
                      <w:color w:val="000000"/>
                      <w:szCs w:val="21"/>
                    </w:rPr>
                  </w:pPr>
                  <w:r>
                    <w:rPr>
                      <w:rFonts w:hint="eastAsia"/>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3374" w:type="dxa"/>
                  <w:vAlign w:val="center"/>
                </w:tcPr>
                <w:p>
                  <w:pPr>
                    <w:snapToGrid w:val="0"/>
                    <w:jc w:val="center"/>
                    <w:rPr>
                      <w:color w:val="000000"/>
                      <w:spacing w:val="-4"/>
                      <w:szCs w:val="21"/>
                    </w:rPr>
                  </w:pPr>
                  <w:r>
                    <w:rPr>
                      <w:color w:val="000000"/>
                      <w:spacing w:val="-4"/>
                      <w:szCs w:val="21"/>
                    </w:rPr>
                    <w:t>本项目废水排放执行限值</w:t>
                  </w:r>
                </w:p>
              </w:tc>
              <w:tc>
                <w:tcPr>
                  <w:tcW w:w="848" w:type="dxa"/>
                  <w:vAlign w:val="center"/>
                </w:tcPr>
                <w:p>
                  <w:pPr>
                    <w:autoSpaceDE w:val="0"/>
                    <w:autoSpaceDN w:val="0"/>
                    <w:adjustRightInd w:val="0"/>
                    <w:jc w:val="center"/>
                    <w:rPr>
                      <w:color w:val="000000"/>
                      <w:szCs w:val="21"/>
                    </w:rPr>
                  </w:pPr>
                  <w:r>
                    <w:rPr>
                      <w:color w:val="000000"/>
                      <w:szCs w:val="21"/>
                    </w:rPr>
                    <w:t>6~9</w:t>
                  </w:r>
                </w:p>
              </w:tc>
              <w:tc>
                <w:tcPr>
                  <w:tcW w:w="1065" w:type="dxa"/>
                  <w:vAlign w:val="center"/>
                </w:tcPr>
                <w:p>
                  <w:pPr>
                    <w:autoSpaceDE w:val="0"/>
                    <w:autoSpaceDN w:val="0"/>
                    <w:adjustRightInd w:val="0"/>
                    <w:jc w:val="center"/>
                    <w:rPr>
                      <w:color w:val="000000"/>
                      <w:szCs w:val="21"/>
                    </w:rPr>
                  </w:pPr>
                  <w:r>
                    <w:rPr>
                      <w:rFonts w:hint="eastAsia"/>
                      <w:color w:val="000000"/>
                      <w:szCs w:val="21"/>
                    </w:rPr>
                    <w:t>500</w:t>
                  </w:r>
                </w:p>
              </w:tc>
              <w:tc>
                <w:tcPr>
                  <w:tcW w:w="1125" w:type="dxa"/>
                  <w:vAlign w:val="center"/>
                </w:tcPr>
                <w:p>
                  <w:pPr>
                    <w:autoSpaceDE w:val="0"/>
                    <w:autoSpaceDN w:val="0"/>
                    <w:adjustRightInd w:val="0"/>
                    <w:jc w:val="center"/>
                    <w:rPr>
                      <w:color w:val="000000"/>
                      <w:szCs w:val="21"/>
                    </w:rPr>
                  </w:pPr>
                  <w:r>
                    <w:rPr>
                      <w:rFonts w:hint="eastAsia"/>
                      <w:color w:val="000000"/>
                      <w:szCs w:val="21"/>
                    </w:rPr>
                    <w:t>300</w:t>
                  </w:r>
                </w:p>
              </w:tc>
              <w:tc>
                <w:tcPr>
                  <w:tcW w:w="645" w:type="dxa"/>
                  <w:vAlign w:val="center"/>
                </w:tcPr>
                <w:p>
                  <w:pPr>
                    <w:autoSpaceDE w:val="0"/>
                    <w:autoSpaceDN w:val="0"/>
                    <w:adjustRightInd w:val="0"/>
                    <w:jc w:val="center"/>
                    <w:rPr>
                      <w:color w:val="000000"/>
                      <w:szCs w:val="21"/>
                    </w:rPr>
                  </w:pPr>
                  <w:r>
                    <w:rPr>
                      <w:rFonts w:hint="eastAsia"/>
                      <w:color w:val="000000"/>
                      <w:szCs w:val="21"/>
                    </w:rPr>
                    <w:t>400</w:t>
                  </w:r>
                </w:p>
              </w:tc>
              <w:tc>
                <w:tcPr>
                  <w:tcW w:w="750" w:type="dxa"/>
                  <w:vAlign w:val="center"/>
                </w:tcPr>
                <w:p>
                  <w:pPr>
                    <w:autoSpaceDE w:val="0"/>
                    <w:autoSpaceDN w:val="0"/>
                    <w:adjustRightInd w:val="0"/>
                    <w:jc w:val="center"/>
                    <w:rPr>
                      <w:color w:val="000000"/>
                      <w:szCs w:val="21"/>
                    </w:rPr>
                  </w:pPr>
                  <w:r>
                    <w:rPr>
                      <w:rFonts w:hint="eastAsia"/>
                      <w:color w:val="000000"/>
                      <w:szCs w:val="21"/>
                    </w:rPr>
                    <w:t>25</w:t>
                  </w:r>
                </w:p>
              </w:tc>
              <w:tc>
                <w:tcPr>
                  <w:tcW w:w="750" w:type="dxa"/>
                  <w:vAlign w:val="center"/>
                </w:tcPr>
                <w:p>
                  <w:pPr>
                    <w:autoSpaceDE w:val="0"/>
                    <w:autoSpaceDN w:val="0"/>
                    <w:adjustRightInd w:val="0"/>
                    <w:jc w:val="center"/>
                    <w:rPr>
                      <w:color w:val="000000"/>
                      <w:szCs w:val="21"/>
                    </w:rPr>
                  </w:pPr>
                  <w:r>
                    <w:rPr>
                      <w:rFonts w:hint="eastAsia"/>
                      <w:color w:val="000000"/>
                      <w:szCs w:val="21"/>
                    </w:rPr>
                    <w:t>6</w:t>
                  </w:r>
                </w:p>
              </w:tc>
            </w:tr>
          </w:tbl>
          <w:p>
            <w:pPr>
              <w:spacing w:before="156" w:beforeLines="50" w:line="360" w:lineRule="auto"/>
              <w:ind w:firstLine="480" w:firstLineChars="200"/>
              <w:rPr>
                <w:kern w:val="0"/>
                <w:sz w:val="24"/>
              </w:rPr>
            </w:pPr>
            <w:r>
              <w:rPr>
                <w:rFonts w:hint="eastAsia"/>
                <w:sz w:val="24"/>
              </w:rPr>
              <w:t>2、</w:t>
            </w:r>
            <w:r>
              <w:rPr>
                <w:sz w:val="24"/>
              </w:rPr>
              <w:t>废气污染物排放标准</w:t>
            </w:r>
          </w:p>
          <w:p>
            <w:pPr>
              <w:tabs>
                <w:tab w:val="left" w:pos="540"/>
                <w:tab w:val="left" w:pos="900"/>
                <w:tab w:val="left" w:pos="3780"/>
              </w:tabs>
              <w:adjustRightInd w:val="0"/>
              <w:snapToGrid w:val="0"/>
              <w:spacing w:line="360" w:lineRule="auto"/>
              <w:ind w:firstLine="480" w:firstLineChars="200"/>
              <w:rPr>
                <w:color w:val="000000"/>
                <w:sz w:val="24"/>
              </w:rPr>
            </w:pPr>
            <w:r>
              <w:rPr>
                <w:sz w:val="24"/>
              </w:rPr>
              <w:t>项目非甲烷总烃排放执行《工业企业挥发性有机物排放控制标准（天津市地方标准）》（DB12/524-20</w:t>
            </w:r>
            <w:r>
              <w:rPr>
                <w:rFonts w:hint="eastAsia"/>
                <w:sz w:val="24"/>
              </w:rPr>
              <w:t>20</w:t>
            </w:r>
            <w:r>
              <w:rPr>
                <w:sz w:val="24"/>
              </w:rPr>
              <w:t>）表</w:t>
            </w:r>
            <w:r>
              <w:rPr>
                <w:rFonts w:hint="eastAsia"/>
                <w:sz w:val="24"/>
              </w:rPr>
              <w:t>1挥发性有机物有组织</w:t>
            </w:r>
            <w:r>
              <w:rPr>
                <w:sz w:val="24"/>
              </w:rPr>
              <w:t>排放限值</w:t>
            </w:r>
            <w:r>
              <w:rPr>
                <w:rFonts w:hint="eastAsia"/>
                <w:sz w:val="24"/>
              </w:rPr>
              <w:t>及</w:t>
            </w:r>
            <w:r>
              <w:rPr>
                <w:sz w:val="24"/>
              </w:rPr>
              <w:t>表</w:t>
            </w:r>
            <w:r>
              <w:rPr>
                <w:rFonts w:hint="eastAsia"/>
                <w:sz w:val="24"/>
              </w:rPr>
              <w:t>2挥发性有机物无组织</w:t>
            </w:r>
            <w:r>
              <w:rPr>
                <w:sz w:val="24"/>
              </w:rPr>
              <w:t>排放限值，</w:t>
            </w:r>
            <w:r>
              <w:rPr>
                <w:rFonts w:hint="eastAsia"/>
                <w:sz w:val="24"/>
              </w:rPr>
              <w:t>食堂油烟参照</w:t>
            </w:r>
            <w:r>
              <w:rPr>
                <w:sz w:val="24"/>
              </w:rPr>
              <w:t>执行</w:t>
            </w:r>
            <w:r>
              <w:rPr>
                <w:color w:val="000000"/>
                <w:sz w:val="24"/>
              </w:rPr>
              <w:t>《饮食业油烟排放标准》（GB18483-2001）中</w:t>
            </w:r>
            <w:r>
              <w:rPr>
                <w:rFonts w:hint="eastAsia"/>
                <w:color w:val="000000"/>
                <w:sz w:val="24"/>
              </w:rPr>
              <w:t>的相关</w:t>
            </w:r>
            <w:r>
              <w:rPr>
                <w:color w:val="000000"/>
                <w:sz w:val="24"/>
              </w:rPr>
              <w:t>标准</w:t>
            </w:r>
            <w:r>
              <w:rPr>
                <w:rFonts w:hint="eastAsia"/>
                <w:color w:val="000000"/>
                <w:sz w:val="24"/>
              </w:rPr>
              <w:t>，</w:t>
            </w:r>
            <w:r>
              <w:rPr>
                <w:color w:val="000000"/>
                <w:sz w:val="24"/>
              </w:rPr>
              <w:t>具体如下表所示。</w:t>
            </w:r>
          </w:p>
          <w:p>
            <w:pPr>
              <w:spacing w:line="360" w:lineRule="auto"/>
              <w:jc w:val="center"/>
              <w:rPr>
                <w:b/>
                <w:szCs w:val="21"/>
              </w:rPr>
            </w:pPr>
            <w:r>
              <w:rPr>
                <w:rFonts w:hint="eastAsia"/>
                <w:b/>
                <w:sz w:val="24"/>
              </w:rPr>
              <w:t>表1-2  大气污染物排放标准</w:t>
            </w:r>
            <w:r>
              <w:rPr>
                <w:b/>
                <w:szCs w:val="21"/>
              </w:rPr>
              <w:t xml:space="preserve">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50"/>
              <w:gridCol w:w="1005"/>
              <w:gridCol w:w="810"/>
              <w:gridCol w:w="660"/>
              <w:gridCol w:w="1155"/>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707" w:type="dxa"/>
                  <w:vMerge w:val="restart"/>
                  <w:vAlign w:val="center"/>
                </w:tcPr>
                <w:p>
                  <w:pPr>
                    <w:autoSpaceDE w:val="0"/>
                    <w:autoSpaceDN w:val="0"/>
                    <w:adjustRightInd w:val="0"/>
                    <w:jc w:val="center"/>
                    <w:rPr>
                      <w:b/>
                      <w:bCs/>
                      <w:color w:val="000000"/>
                      <w:szCs w:val="21"/>
                    </w:rPr>
                  </w:pPr>
                  <w:r>
                    <w:rPr>
                      <w:b/>
                      <w:bCs/>
                      <w:color w:val="000000"/>
                      <w:szCs w:val="21"/>
                    </w:rPr>
                    <w:t>污染物</w:t>
                  </w:r>
                </w:p>
              </w:tc>
              <w:tc>
                <w:tcPr>
                  <w:tcW w:w="1050" w:type="dxa"/>
                  <w:vMerge w:val="restart"/>
                  <w:vAlign w:val="center"/>
                </w:tcPr>
                <w:p>
                  <w:pPr>
                    <w:jc w:val="center"/>
                    <w:rPr>
                      <w:b/>
                      <w:bCs/>
                      <w:color w:val="000000"/>
                      <w:szCs w:val="21"/>
                    </w:rPr>
                  </w:pPr>
                  <w:r>
                    <w:rPr>
                      <w:b/>
                      <w:bCs/>
                      <w:color w:val="000000"/>
                      <w:szCs w:val="21"/>
                    </w:rPr>
                    <w:t>最高允许排放浓度mg/m</w:t>
                  </w:r>
                  <w:r>
                    <w:rPr>
                      <w:b/>
                      <w:bCs/>
                      <w:color w:val="000000"/>
                      <w:szCs w:val="21"/>
                      <w:vertAlign w:val="superscript"/>
                    </w:rPr>
                    <w:t>3</w:t>
                  </w:r>
                </w:p>
              </w:tc>
              <w:tc>
                <w:tcPr>
                  <w:tcW w:w="1815" w:type="dxa"/>
                  <w:gridSpan w:val="2"/>
                  <w:vAlign w:val="center"/>
                </w:tcPr>
                <w:p>
                  <w:pPr>
                    <w:autoSpaceDE w:val="0"/>
                    <w:autoSpaceDN w:val="0"/>
                    <w:adjustRightInd w:val="0"/>
                    <w:jc w:val="center"/>
                    <w:rPr>
                      <w:b/>
                      <w:bCs/>
                      <w:color w:val="000000"/>
                      <w:szCs w:val="21"/>
                    </w:rPr>
                  </w:pPr>
                  <w:r>
                    <w:rPr>
                      <w:b/>
                      <w:bCs/>
                      <w:color w:val="000000"/>
                      <w:szCs w:val="21"/>
                    </w:rPr>
                    <w:t>最高允许排放速率（kg/h）</w:t>
                  </w:r>
                </w:p>
              </w:tc>
              <w:tc>
                <w:tcPr>
                  <w:tcW w:w="1815" w:type="dxa"/>
                  <w:gridSpan w:val="2"/>
                  <w:vAlign w:val="center"/>
                </w:tcPr>
                <w:p>
                  <w:pPr>
                    <w:autoSpaceDE w:val="0"/>
                    <w:autoSpaceDN w:val="0"/>
                    <w:adjustRightInd w:val="0"/>
                    <w:jc w:val="center"/>
                    <w:rPr>
                      <w:b/>
                      <w:bCs/>
                      <w:color w:val="000000"/>
                      <w:szCs w:val="21"/>
                    </w:rPr>
                  </w:pPr>
                  <w:r>
                    <w:rPr>
                      <w:b/>
                      <w:bCs/>
                      <w:color w:val="000000"/>
                      <w:szCs w:val="21"/>
                    </w:rPr>
                    <w:t>无组织排放监控浓度限值</w:t>
                  </w:r>
                </w:p>
              </w:tc>
              <w:tc>
                <w:tcPr>
                  <w:tcW w:w="2258" w:type="dxa"/>
                  <w:vMerge w:val="restart"/>
                  <w:vAlign w:val="center"/>
                </w:tcPr>
                <w:p>
                  <w:pPr>
                    <w:autoSpaceDE w:val="0"/>
                    <w:autoSpaceDN w:val="0"/>
                    <w:adjustRightInd w:val="0"/>
                    <w:jc w:val="center"/>
                    <w:rPr>
                      <w:b/>
                      <w:bCs/>
                      <w:color w:val="000000"/>
                      <w:szCs w:val="21"/>
                    </w:rPr>
                  </w:pPr>
                  <w:r>
                    <w:rPr>
                      <w:b/>
                      <w:bCs/>
                      <w:color w:val="000000"/>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7" w:type="dxa"/>
                  <w:vMerge w:val="continue"/>
                  <w:vAlign w:val="center"/>
                </w:tcPr>
                <w:p>
                  <w:pPr>
                    <w:autoSpaceDE w:val="0"/>
                    <w:autoSpaceDN w:val="0"/>
                    <w:adjustRightInd w:val="0"/>
                    <w:jc w:val="center"/>
                    <w:rPr>
                      <w:b/>
                      <w:bCs/>
                      <w:color w:val="000000"/>
                      <w:szCs w:val="21"/>
                    </w:rPr>
                  </w:pPr>
                </w:p>
              </w:tc>
              <w:tc>
                <w:tcPr>
                  <w:tcW w:w="1050" w:type="dxa"/>
                  <w:vMerge w:val="continue"/>
                  <w:vAlign w:val="center"/>
                </w:tcPr>
                <w:p>
                  <w:pPr>
                    <w:jc w:val="center"/>
                    <w:rPr>
                      <w:b/>
                      <w:bCs/>
                      <w:color w:val="000000"/>
                      <w:szCs w:val="21"/>
                    </w:rPr>
                  </w:pPr>
                </w:p>
              </w:tc>
              <w:tc>
                <w:tcPr>
                  <w:tcW w:w="1005" w:type="dxa"/>
                  <w:vAlign w:val="center"/>
                </w:tcPr>
                <w:p>
                  <w:pPr>
                    <w:jc w:val="center"/>
                    <w:rPr>
                      <w:b/>
                      <w:bCs/>
                      <w:color w:val="000000"/>
                      <w:szCs w:val="21"/>
                    </w:rPr>
                  </w:pPr>
                  <w:r>
                    <w:rPr>
                      <w:b/>
                      <w:bCs/>
                      <w:color w:val="000000"/>
                      <w:szCs w:val="21"/>
                    </w:rPr>
                    <w:t>排气筒（m）</w:t>
                  </w:r>
                </w:p>
              </w:tc>
              <w:tc>
                <w:tcPr>
                  <w:tcW w:w="810" w:type="dxa"/>
                  <w:vAlign w:val="center"/>
                </w:tcPr>
                <w:p>
                  <w:pPr>
                    <w:autoSpaceDE w:val="0"/>
                    <w:autoSpaceDN w:val="0"/>
                    <w:adjustRightInd w:val="0"/>
                    <w:jc w:val="center"/>
                    <w:rPr>
                      <w:b/>
                      <w:bCs/>
                      <w:color w:val="000000"/>
                      <w:szCs w:val="21"/>
                    </w:rPr>
                  </w:pPr>
                  <w:r>
                    <w:rPr>
                      <w:b/>
                      <w:bCs/>
                      <w:color w:val="000000"/>
                      <w:szCs w:val="21"/>
                    </w:rPr>
                    <w:t>二级</w:t>
                  </w:r>
                </w:p>
              </w:tc>
              <w:tc>
                <w:tcPr>
                  <w:tcW w:w="660" w:type="dxa"/>
                  <w:vAlign w:val="center"/>
                </w:tcPr>
                <w:p>
                  <w:pPr>
                    <w:autoSpaceDE w:val="0"/>
                    <w:autoSpaceDN w:val="0"/>
                    <w:adjustRightInd w:val="0"/>
                    <w:jc w:val="center"/>
                    <w:rPr>
                      <w:b/>
                      <w:bCs/>
                      <w:color w:val="000000"/>
                      <w:szCs w:val="21"/>
                    </w:rPr>
                  </w:pPr>
                  <w:r>
                    <w:rPr>
                      <w:b/>
                      <w:bCs/>
                      <w:color w:val="000000"/>
                      <w:szCs w:val="21"/>
                    </w:rPr>
                    <w:t>监控点</w:t>
                  </w:r>
                </w:p>
              </w:tc>
              <w:tc>
                <w:tcPr>
                  <w:tcW w:w="1155" w:type="dxa"/>
                  <w:vAlign w:val="center"/>
                </w:tcPr>
                <w:p>
                  <w:pPr>
                    <w:autoSpaceDE w:val="0"/>
                    <w:autoSpaceDN w:val="0"/>
                    <w:adjustRightInd w:val="0"/>
                    <w:jc w:val="center"/>
                    <w:rPr>
                      <w:b/>
                      <w:bCs/>
                      <w:color w:val="000000"/>
                      <w:szCs w:val="21"/>
                    </w:rPr>
                  </w:pPr>
                  <w:r>
                    <w:rPr>
                      <w:b/>
                      <w:bCs/>
                      <w:color w:val="000000"/>
                      <w:szCs w:val="21"/>
                    </w:rPr>
                    <w:t>浓度（mg/m</w:t>
                  </w:r>
                  <w:r>
                    <w:rPr>
                      <w:b/>
                      <w:bCs/>
                      <w:color w:val="000000"/>
                      <w:szCs w:val="21"/>
                      <w:vertAlign w:val="superscript"/>
                    </w:rPr>
                    <w:t>3</w:t>
                  </w:r>
                  <w:r>
                    <w:rPr>
                      <w:b/>
                      <w:bCs/>
                      <w:color w:val="000000"/>
                      <w:szCs w:val="21"/>
                    </w:rPr>
                    <w:t>）</w:t>
                  </w:r>
                </w:p>
              </w:tc>
              <w:tc>
                <w:tcPr>
                  <w:tcW w:w="2258" w:type="dxa"/>
                  <w:vMerge w:val="continue"/>
                  <w:vAlign w:val="center"/>
                </w:tcPr>
                <w:p>
                  <w:pPr>
                    <w:autoSpaceDE w:val="0"/>
                    <w:autoSpaceDN w:val="0"/>
                    <w:adjustRightInd w:val="0"/>
                    <w:jc w:val="center"/>
                    <w:rPr>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707" w:type="dxa"/>
                  <w:vAlign w:val="center"/>
                </w:tcPr>
                <w:p>
                  <w:pPr>
                    <w:jc w:val="center"/>
                    <w:rPr>
                      <w:b/>
                      <w:bCs/>
                      <w:color w:val="000000"/>
                      <w:szCs w:val="21"/>
                    </w:rPr>
                  </w:pPr>
                  <w:r>
                    <w:rPr>
                      <w:color w:val="000000"/>
                      <w:szCs w:val="21"/>
                    </w:rPr>
                    <w:t>非甲烷总烃</w:t>
                  </w:r>
                </w:p>
              </w:tc>
              <w:tc>
                <w:tcPr>
                  <w:tcW w:w="1050" w:type="dxa"/>
                  <w:vAlign w:val="center"/>
                </w:tcPr>
                <w:p>
                  <w:pPr>
                    <w:jc w:val="center"/>
                    <w:rPr>
                      <w:color w:val="000000"/>
                      <w:szCs w:val="21"/>
                    </w:rPr>
                  </w:pPr>
                  <w:r>
                    <w:rPr>
                      <w:rFonts w:hint="eastAsia"/>
                      <w:color w:val="000000"/>
                      <w:szCs w:val="21"/>
                    </w:rPr>
                    <w:t>50</w:t>
                  </w:r>
                </w:p>
              </w:tc>
              <w:tc>
                <w:tcPr>
                  <w:tcW w:w="1005" w:type="dxa"/>
                  <w:vAlign w:val="center"/>
                </w:tcPr>
                <w:p>
                  <w:pPr>
                    <w:jc w:val="center"/>
                    <w:rPr>
                      <w:color w:val="000000"/>
                      <w:szCs w:val="21"/>
                    </w:rPr>
                  </w:pPr>
                  <w:r>
                    <w:rPr>
                      <w:color w:val="000000"/>
                      <w:szCs w:val="21"/>
                    </w:rPr>
                    <w:t>15</w:t>
                  </w:r>
                </w:p>
              </w:tc>
              <w:tc>
                <w:tcPr>
                  <w:tcW w:w="810" w:type="dxa"/>
                  <w:vAlign w:val="center"/>
                </w:tcPr>
                <w:p>
                  <w:pPr>
                    <w:jc w:val="center"/>
                    <w:rPr>
                      <w:color w:val="000000"/>
                      <w:szCs w:val="21"/>
                    </w:rPr>
                  </w:pPr>
                  <w:r>
                    <w:rPr>
                      <w:rFonts w:hint="eastAsia"/>
                      <w:color w:val="000000"/>
                      <w:szCs w:val="21"/>
                    </w:rPr>
                    <w:t>1.5</w:t>
                  </w:r>
                </w:p>
              </w:tc>
              <w:tc>
                <w:tcPr>
                  <w:tcW w:w="660" w:type="dxa"/>
                  <w:vAlign w:val="center"/>
                </w:tcPr>
                <w:p>
                  <w:pPr>
                    <w:jc w:val="center"/>
                    <w:rPr>
                      <w:color w:val="000000"/>
                      <w:szCs w:val="21"/>
                    </w:rPr>
                  </w:pPr>
                  <w:r>
                    <w:rPr>
                      <w:color w:val="000000"/>
                      <w:szCs w:val="21"/>
                    </w:rPr>
                    <w:t>周界外浓度最高点</w:t>
                  </w:r>
                </w:p>
              </w:tc>
              <w:tc>
                <w:tcPr>
                  <w:tcW w:w="1155" w:type="dxa"/>
                  <w:vAlign w:val="center"/>
                </w:tcPr>
                <w:p>
                  <w:pPr>
                    <w:jc w:val="center"/>
                    <w:rPr>
                      <w:color w:val="000000"/>
                      <w:szCs w:val="21"/>
                    </w:rPr>
                  </w:pPr>
                  <w:r>
                    <w:rPr>
                      <w:rFonts w:hint="eastAsia"/>
                      <w:color w:val="000000"/>
                      <w:szCs w:val="21"/>
                    </w:rPr>
                    <w:t>2.</w:t>
                  </w:r>
                  <w:r>
                    <w:rPr>
                      <w:color w:val="000000"/>
                      <w:szCs w:val="21"/>
                    </w:rPr>
                    <w:t>0</w:t>
                  </w:r>
                </w:p>
              </w:tc>
              <w:tc>
                <w:tcPr>
                  <w:tcW w:w="2258" w:type="dxa"/>
                  <w:vAlign w:val="center"/>
                </w:tcPr>
                <w:p>
                  <w:pPr>
                    <w:jc w:val="center"/>
                    <w:rPr>
                      <w:color w:val="000000"/>
                      <w:szCs w:val="21"/>
                    </w:rPr>
                  </w:pPr>
                  <w:r>
                    <w:rPr>
                      <w:color w:val="000000"/>
                      <w:szCs w:val="21"/>
                    </w:rPr>
                    <w:t>《工业企业挥发性有机物排放控制标准（天津市地方标准）》（DB12/524-20</w:t>
                  </w:r>
                  <w:r>
                    <w:rPr>
                      <w:rFonts w:hint="eastAsia"/>
                      <w:color w:val="000000"/>
                      <w:szCs w:val="21"/>
                    </w:rPr>
                    <w:t>20</w:t>
                  </w:r>
                  <w:r>
                    <w:rPr>
                      <w:color w:val="000000"/>
                      <w:szCs w:val="21"/>
                    </w:rPr>
                    <w:t>）表</w:t>
                  </w:r>
                  <w:r>
                    <w:rPr>
                      <w:rFonts w:hint="eastAsia"/>
                      <w:color w:val="000000"/>
                      <w:szCs w:val="21"/>
                    </w:rPr>
                    <w:t>1挥发性有机物有组织</w:t>
                  </w:r>
                  <w:r>
                    <w:rPr>
                      <w:color w:val="000000"/>
                      <w:szCs w:val="21"/>
                    </w:rPr>
                    <w:t>排放限值</w:t>
                  </w:r>
                  <w:r>
                    <w:rPr>
                      <w:rFonts w:hint="eastAsia"/>
                      <w:color w:val="000000"/>
                      <w:szCs w:val="21"/>
                    </w:rPr>
                    <w:t>及</w:t>
                  </w:r>
                  <w:r>
                    <w:rPr>
                      <w:color w:val="000000"/>
                      <w:szCs w:val="21"/>
                    </w:rPr>
                    <w:t>表</w:t>
                  </w:r>
                  <w:r>
                    <w:rPr>
                      <w:rFonts w:hint="eastAsia"/>
                      <w:color w:val="000000"/>
                      <w:szCs w:val="21"/>
                    </w:rPr>
                    <w:t>2挥发性有机物无组织</w:t>
                  </w:r>
                  <w:r>
                    <w:rPr>
                      <w:color w:val="000000"/>
                      <w:szCs w:val="21"/>
                    </w:rPr>
                    <w:t>排放限值</w:t>
                  </w:r>
                </w:p>
              </w:tc>
            </w:tr>
          </w:tbl>
          <w:p>
            <w:pPr>
              <w:pStyle w:val="48"/>
              <w:spacing w:line="360" w:lineRule="auto"/>
              <w:ind w:firstLine="480" w:firstLineChars="200"/>
              <w:jc w:val="left"/>
              <w:rPr>
                <w:color w:val="000000"/>
              </w:rPr>
            </w:pPr>
            <w:r>
              <w:rPr>
                <w:color w:val="000000"/>
              </w:rPr>
              <w:t>厂内VOCs无组织排放执行《挥发性有机物无组织排放控制标准》（GB37822-2019）中附录A中规定特别排放限值，具体标准摘录见下表。</w:t>
            </w:r>
          </w:p>
          <w:p>
            <w:pPr>
              <w:pStyle w:val="14"/>
              <w:jc w:val="center"/>
              <w:rPr>
                <w:b/>
                <w:kern w:val="2"/>
                <w:sz w:val="24"/>
                <w:szCs w:val="24"/>
              </w:rPr>
            </w:pPr>
            <w:r>
              <w:rPr>
                <w:rFonts w:hint="eastAsia"/>
                <w:b/>
                <w:kern w:val="2"/>
                <w:sz w:val="24"/>
                <w:szCs w:val="24"/>
              </w:rPr>
              <w:t>表1-3项目大气污染物排放限值</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205"/>
              <w:gridCol w:w="1662"/>
              <w:gridCol w:w="1426"/>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42" w:type="dxa"/>
                  <w:vAlign w:val="center"/>
                </w:tcPr>
                <w:p>
                  <w:pPr>
                    <w:pStyle w:val="48"/>
                    <w:jc w:val="center"/>
                    <w:rPr>
                      <w:b/>
                      <w:bCs/>
                      <w:color w:val="000000"/>
                      <w:sz w:val="21"/>
                      <w:szCs w:val="21"/>
                    </w:rPr>
                  </w:pPr>
                  <w:r>
                    <w:rPr>
                      <w:b/>
                      <w:bCs/>
                      <w:color w:val="000000"/>
                      <w:sz w:val="21"/>
                      <w:szCs w:val="21"/>
                    </w:rPr>
                    <w:t>污染物项目</w:t>
                  </w:r>
                </w:p>
              </w:tc>
              <w:tc>
                <w:tcPr>
                  <w:tcW w:w="1333" w:type="dxa"/>
                  <w:vAlign w:val="center"/>
                </w:tcPr>
                <w:p>
                  <w:pPr>
                    <w:pStyle w:val="48"/>
                    <w:jc w:val="center"/>
                    <w:rPr>
                      <w:b/>
                      <w:bCs/>
                      <w:color w:val="000000"/>
                      <w:sz w:val="21"/>
                      <w:szCs w:val="21"/>
                    </w:rPr>
                  </w:pPr>
                  <w:r>
                    <w:rPr>
                      <w:b/>
                      <w:bCs/>
                      <w:color w:val="000000"/>
                      <w:sz w:val="21"/>
                      <w:szCs w:val="21"/>
                    </w:rPr>
                    <w:t>特别排放限值（mg/m</w:t>
                  </w:r>
                  <w:r>
                    <w:rPr>
                      <w:b/>
                      <w:bCs/>
                      <w:color w:val="000000"/>
                      <w:sz w:val="21"/>
                      <w:szCs w:val="21"/>
                      <w:vertAlign w:val="superscript"/>
                    </w:rPr>
                    <w:t>3</w:t>
                  </w:r>
                  <w:r>
                    <w:rPr>
                      <w:b/>
                      <w:bCs/>
                      <w:color w:val="000000"/>
                      <w:sz w:val="21"/>
                      <w:szCs w:val="21"/>
                    </w:rPr>
                    <w:t>）</w:t>
                  </w:r>
                </w:p>
              </w:tc>
              <w:tc>
                <w:tcPr>
                  <w:tcW w:w="1850" w:type="dxa"/>
                  <w:vAlign w:val="center"/>
                </w:tcPr>
                <w:p>
                  <w:pPr>
                    <w:pStyle w:val="48"/>
                    <w:jc w:val="center"/>
                    <w:rPr>
                      <w:b/>
                      <w:bCs/>
                      <w:color w:val="000000"/>
                      <w:sz w:val="21"/>
                      <w:szCs w:val="21"/>
                    </w:rPr>
                  </w:pPr>
                  <w:r>
                    <w:rPr>
                      <w:b/>
                      <w:bCs/>
                      <w:color w:val="000000"/>
                      <w:sz w:val="21"/>
                      <w:szCs w:val="21"/>
                    </w:rPr>
                    <w:t>限值含义</w:t>
                  </w:r>
                </w:p>
              </w:tc>
              <w:tc>
                <w:tcPr>
                  <w:tcW w:w="1583" w:type="dxa"/>
                  <w:vAlign w:val="center"/>
                </w:tcPr>
                <w:p>
                  <w:pPr>
                    <w:pStyle w:val="48"/>
                    <w:jc w:val="center"/>
                    <w:rPr>
                      <w:b/>
                      <w:bCs/>
                      <w:color w:val="000000"/>
                      <w:sz w:val="21"/>
                      <w:szCs w:val="21"/>
                    </w:rPr>
                  </w:pPr>
                  <w:r>
                    <w:rPr>
                      <w:b/>
                      <w:bCs/>
                      <w:color w:val="000000"/>
                      <w:sz w:val="21"/>
                      <w:szCs w:val="21"/>
                    </w:rPr>
                    <w:t>无组织排放监控位置</w:t>
                  </w:r>
                </w:p>
              </w:tc>
              <w:tc>
                <w:tcPr>
                  <w:tcW w:w="2394" w:type="dxa"/>
                  <w:vAlign w:val="center"/>
                </w:tcPr>
                <w:p>
                  <w:pPr>
                    <w:pStyle w:val="48"/>
                    <w:jc w:val="center"/>
                    <w:rPr>
                      <w:b/>
                      <w:bCs/>
                      <w:color w:val="000000"/>
                      <w:sz w:val="21"/>
                      <w:szCs w:val="21"/>
                    </w:rPr>
                  </w:pPr>
                  <w:r>
                    <w:rPr>
                      <w:b/>
                      <w:bCs/>
                      <w:color w:val="000000"/>
                      <w:sz w:val="21"/>
                      <w:szCs w:val="21"/>
                    </w:rPr>
                    <w:t>执行或参照执行标准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dxa"/>
                  <w:vMerge w:val="restart"/>
                  <w:vAlign w:val="center"/>
                </w:tcPr>
                <w:p>
                  <w:pPr>
                    <w:pStyle w:val="48"/>
                    <w:jc w:val="center"/>
                    <w:rPr>
                      <w:color w:val="000000"/>
                      <w:sz w:val="21"/>
                      <w:szCs w:val="21"/>
                    </w:rPr>
                  </w:pPr>
                  <w:r>
                    <w:rPr>
                      <w:color w:val="000000"/>
                      <w:sz w:val="21"/>
                      <w:szCs w:val="21"/>
                    </w:rPr>
                    <w:t>NMHC</w:t>
                  </w:r>
                </w:p>
              </w:tc>
              <w:tc>
                <w:tcPr>
                  <w:tcW w:w="1333" w:type="dxa"/>
                  <w:vAlign w:val="center"/>
                </w:tcPr>
                <w:p>
                  <w:pPr>
                    <w:pStyle w:val="48"/>
                    <w:jc w:val="center"/>
                    <w:rPr>
                      <w:color w:val="000000"/>
                      <w:sz w:val="21"/>
                      <w:szCs w:val="21"/>
                    </w:rPr>
                  </w:pPr>
                  <w:r>
                    <w:rPr>
                      <w:color w:val="000000"/>
                      <w:sz w:val="21"/>
                      <w:szCs w:val="21"/>
                    </w:rPr>
                    <w:t>6</w:t>
                  </w:r>
                </w:p>
              </w:tc>
              <w:tc>
                <w:tcPr>
                  <w:tcW w:w="1850" w:type="dxa"/>
                  <w:vAlign w:val="center"/>
                </w:tcPr>
                <w:p>
                  <w:pPr>
                    <w:pStyle w:val="48"/>
                    <w:jc w:val="center"/>
                    <w:rPr>
                      <w:color w:val="000000"/>
                      <w:sz w:val="21"/>
                      <w:szCs w:val="21"/>
                    </w:rPr>
                  </w:pPr>
                  <w:r>
                    <w:rPr>
                      <w:color w:val="000000"/>
                      <w:sz w:val="21"/>
                      <w:szCs w:val="21"/>
                    </w:rPr>
                    <w:t>监控点处1h平均浓度值</w:t>
                  </w:r>
                </w:p>
              </w:tc>
              <w:tc>
                <w:tcPr>
                  <w:tcW w:w="1583" w:type="dxa"/>
                  <w:vMerge w:val="restart"/>
                  <w:vAlign w:val="center"/>
                </w:tcPr>
                <w:p>
                  <w:pPr>
                    <w:pStyle w:val="48"/>
                    <w:jc w:val="center"/>
                    <w:rPr>
                      <w:color w:val="000000"/>
                      <w:sz w:val="21"/>
                      <w:szCs w:val="21"/>
                    </w:rPr>
                  </w:pPr>
                  <w:r>
                    <w:rPr>
                      <w:color w:val="000000"/>
                      <w:sz w:val="21"/>
                      <w:szCs w:val="21"/>
                    </w:rPr>
                    <w:t>在厂房外设置监控点</w:t>
                  </w:r>
                </w:p>
              </w:tc>
              <w:tc>
                <w:tcPr>
                  <w:tcW w:w="2394" w:type="dxa"/>
                  <w:vMerge w:val="restart"/>
                  <w:vAlign w:val="center"/>
                </w:tcPr>
                <w:p>
                  <w:pPr>
                    <w:pStyle w:val="48"/>
                    <w:jc w:val="center"/>
                    <w:rPr>
                      <w:color w:val="000000"/>
                      <w:sz w:val="21"/>
                      <w:szCs w:val="21"/>
                    </w:rPr>
                  </w:pPr>
                  <w:r>
                    <w:rPr>
                      <w:color w:val="000000"/>
                      <w:sz w:val="21"/>
                      <w:szCs w:val="21"/>
                    </w:rPr>
                    <w:t>《挥发性有机物无组织排放控制标准》（GB37822-2019）中附录A中规定特别排放限值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42" w:type="dxa"/>
                  <w:vMerge w:val="continue"/>
                  <w:vAlign w:val="center"/>
                </w:tcPr>
                <w:p>
                  <w:pPr>
                    <w:pStyle w:val="48"/>
                    <w:jc w:val="center"/>
                    <w:rPr>
                      <w:color w:val="000000"/>
                      <w:sz w:val="21"/>
                      <w:szCs w:val="21"/>
                    </w:rPr>
                  </w:pPr>
                </w:p>
              </w:tc>
              <w:tc>
                <w:tcPr>
                  <w:tcW w:w="1333" w:type="dxa"/>
                  <w:vAlign w:val="center"/>
                </w:tcPr>
                <w:p>
                  <w:pPr>
                    <w:pStyle w:val="48"/>
                    <w:jc w:val="center"/>
                    <w:rPr>
                      <w:color w:val="000000"/>
                      <w:sz w:val="21"/>
                      <w:szCs w:val="21"/>
                    </w:rPr>
                  </w:pPr>
                  <w:r>
                    <w:rPr>
                      <w:color w:val="000000"/>
                      <w:sz w:val="21"/>
                      <w:szCs w:val="21"/>
                    </w:rPr>
                    <w:t>20</w:t>
                  </w:r>
                </w:p>
              </w:tc>
              <w:tc>
                <w:tcPr>
                  <w:tcW w:w="1850" w:type="dxa"/>
                  <w:vAlign w:val="center"/>
                </w:tcPr>
                <w:p>
                  <w:pPr>
                    <w:pStyle w:val="48"/>
                    <w:jc w:val="center"/>
                    <w:rPr>
                      <w:color w:val="000000"/>
                      <w:sz w:val="21"/>
                      <w:szCs w:val="21"/>
                    </w:rPr>
                  </w:pPr>
                  <w:r>
                    <w:rPr>
                      <w:color w:val="000000"/>
                      <w:sz w:val="21"/>
                      <w:szCs w:val="21"/>
                    </w:rPr>
                    <w:t>监控点处任意一次浓度值</w:t>
                  </w:r>
                </w:p>
              </w:tc>
              <w:tc>
                <w:tcPr>
                  <w:tcW w:w="1583" w:type="dxa"/>
                  <w:vMerge w:val="continue"/>
                  <w:vAlign w:val="center"/>
                </w:tcPr>
                <w:p>
                  <w:pPr>
                    <w:pStyle w:val="48"/>
                    <w:jc w:val="center"/>
                    <w:rPr>
                      <w:color w:val="000000"/>
                      <w:sz w:val="21"/>
                      <w:szCs w:val="21"/>
                    </w:rPr>
                  </w:pPr>
                </w:p>
              </w:tc>
              <w:tc>
                <w:tcPr>
                  <w:tcW w:w="2394" w:type="dxa"/>
                  <w:vMerge w:val="continue"/>
                  <w:vAlign w:val="center"/>
                </w:tcPr>
                <w:p>
                  <w:pPr>
                    <w:pStyle w:val="48"/>
                    <w:jc w:val="center"/>
                    <w:rPr>
                      <w:color w:val="000000"/>
                      <w:sz w:val="21"/>
                      <w:szCs w:val="21"/>
                    </w:rPr>
                  </w:pPr>
                </w:p>
              </w:tc>
            </w:tr>
          </w:tbl>
          <w:p>
            <w:pPr>
              <w:spacing w:line="360" w:lineRule="auto"/>
              <w:jc w:val="center"/>
              <w:rPr>
                <w:b/>
                <w:sz w:val="24"/>
              </w:rPr>
            </w:pPr>
            <w:r>
              <w:rPr>
                <w:b/>
                <w:sz w:val="24"/>
              </w:rPr>
              <w:t>表</w:t>
            </w:r>
            <w:r>
              <w:rPr>
                <w:rFonts w:hint="eastAsia"/>
                <w:b/>
                <w:sz w:val="24"/>
              </w:rPr>
              <w:t>1-4</w:t>
            </w:r>
            <w:r>
              <w:rPr>
                <w:b/>
                <w:sz w:val="24"/>
              </w:rPr>
              <w:t xml:space="preserve">  饮食业油烟排放标准（试行）</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8"/>
              <w:gridCol w:w="1264"/>
              <w:gridCol w:w="1444"/>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86" w:type="dxa"/>
                  <w:vAlign w:val="center"/>
                </w:tcPr>
                <w:p>
                  <w:pPr>
                    <w:pStyle w:val="48"/>
                    <w:jc w:val="center"/>
                    <w:rPr>
                      <w:b/>
                      <w:bCs/>
                      <w:color w:val="000000"/>
                      <w:sz w:val="21"/>
                      <w:szCs w:val="21"/>
                    </w:rPr>
                  </w:pPr>
                  <w:r>
                    <w:rPr>
                      <w:b/>
                      <w:bCs/>
                      <w:color w:val="000000"/>
                      <w:sz w:val="21"/>
                      <w:szCs w:val="21"/>
                    </w:rPr>
                    <w:t>规模</w:t>
                  </w:r>
                </w:p>
              </w:tc>
              <w:tc>
                <w:tcPr>
                  <w:tcW w:w="1372" w:type="dxa"/>
                  <w:vAlign w:val="center"/>
                </w:tcPr>
                <w:p>
                  <w:pPr>
                    <w:pStyle w:val="48"/>
                    <w:jc w:val="center"/>
                    <w:rPr>
                      <w:b/>
                      <w:bCs/>
                      <w:color w:val="000000"/>
                      <w:sz w:val="21"/>
                      <w:szCs w:val="21"/>
                    </w:rPr>
                  </w:pPr>
                  <w:r>
                    <w:rPr>
                      <w:b/>
                      <w:bCs/>
                      <w:color w:val="000000"/>
                      <w:sz w:val="21"/>
                      <w:szCs w:val="21"/>
                    </w:rPr>
                    <w:t>小型</w:t>
                  </w:r>
                </w:p>
              </w:tc>
              <w:tc>
                <w:tcPr>
                  <w:tcW w:w="1571" w:type="dxa"/>
                  <w:vAlign w:val="center"/>
                </w:tcPr>
                <w:p>
                  <w:pPr>
                    <w:pStyle w:val="48"/>
                    <w:jc w:val="center"/>
                    <w:rPr>
                      <w:b/>
                      <w:bCs/>
                      <w:color w:val="000000"/>
                      <w:sz w:val="21"/>
                      <w:szCs w:val="21"/>
                    </w:rPr>
                  </w:pPr>
                  <w:r>
                    <w:rPr>
                      <w:b/>
                      <w:bCs/>
                      <w:color w:val="000000"/>
                      <w:sz w:val="21"/>
                      <w:szCs w:val="21"/>
                    </w:rPr>
                    <w:t>中型</w:t>
                  </w:r>
                </w:p>
              </w:tc>
              <w:tc>
                <w:tcPr>
                  <w:tcW w:w="1828" w:type="dxa"/>
                  <w:vAlign w:val="center"/>
                </w:tcPr>
                <w:p>
                  <w:pPr>
                    <w:pStyle w:val="48"/>
                    <w:jc w:val="center"/>
                    <w:rPr>
                      <w:b/>
                      <w:bCs/>
                      <w:color w:val="000000"/>
                      <w:sz w:val="21"/>
                      <w:szCs w:val="21"/>
                    </w:rPr>
                  </w:pPr>
                  <w:r>
                    <w:rPr>
                      <w:b/>
                      <w:bCs/>
                      <w:color w:val="000000"/>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86" w:type="dxa"/>
                  <w:vAlign w:val="center"/>
                </w:tcPr>
                <w:p>
                  <w:pPr>
                    <w:pStyle w:val="36"/>
                    <w:rPr>
                      <w:rFonts w:eastAsia="宋体"/>
                      <w:color w:val="000000"/>
                      <w:kern w:val="2"/>
                      <w:sz w:val="21"/>
                      <w:szCs w:val="21"/>
                    </w:rPr>
                  </w:pPr>
                  <w:r>
                    <w:rPr>
                      <w:rFonts w:eastAsia="宋体"/>
                      <w:color w:val="000000"/>
                      <w:kern w:val="2"/>
                      <w:sz w:val="21"/>
                      <w:szCs w:val="21"/>
                    </w:rPr>
                    <w:t>基准灶头数</w:t>
                  </w:r>
                </w:p>
              </w:tc>
              <w:tc>
                <w:tcPr>
                  <w:tcW w:w="1372" w:type="dxa"/>
                  <w:vAlign w:val="center"/>
                </w:tcPr>
                <w:p>
                  <w:pPr>
                    <w:pStyle w:val="36"/>
                    <w:rPr>
                      <w:rFonts w:eastAsia="宋体"/>
                      <w:color w:val="000000"/>
                      <w:kern w:val="2"/>
                      <w:sz w:val="21"/>
                      <w:szCs w:val="21"/>
                    </w:rPr>
                  </w:pPr>
                  <w:r>
                    <w:rPr>
                      <w:rFonts w:eastAsia="宋体"/>
                      <w:color w:val="000000"/>
                      <w:kern w:val="2"/>
                      <w:sz w:val="21"/>
                      <w:szCs w:val="21"/>
                    </w:rPr>
                    <w:t>≥1，＜3</w:t>
                  </w:r>
                </w:p>
              </w:tc>
              <w:tc>
                <w:tcPr>
                  <w:tcW w:w="1571" w:type="dxa"/>
                  <w:vAlign w:val="center"/>
                </w:tcPr>
                <w:p>
                  <w:pPr>
                    <w:pStyle w:val="36"/>
                    <w:rPr>
                      <w:rFonts w:eastAsia="宋体"/>
                      <w:color w:val="000000"/>
                      <w:kern w:val="2"/>
                      <w:sz w:val="21"/>
                      <w:szCs w:val="21"/>
                    </w:rPr>
                  </w:pPr>
                  <w:r>
                    <w:rPr>
                      <w:rFonts w:eastAsia="宋体"/>
                      <w:color w:val="000000"/>
                      <w:kern w:val="2"/>
                      <w:sz w:val="21"/>
                      <w:szCs w:val="21"/>
                    </w:rPr>
                    <w:t>≥3，＜6</w:t>
                  </w:r>
                </w:p>
              </w:tc>
              <w:tc>
                <w:tcPr>
                  <w:tcW w:w="1828" w:type="dxa"/>
                  <w:vAlign w:val="center"/>
                </w:tcPr>
                <w:p>
                  <w:pPr>
                    <w:pStyle w:val="36"/>
                    <w:rPr>
                      <w:rFonts w:eastAsia="宋体"/>
                      <w:color w:val="000000"/>
                      <w:kern w:val="2"/>
                      <w:sz w:val="21"/>
                      <w:szCs w:val="21"/>
                    </w:rPr>
                  </w:pPr>
                  <w:r>
                    <w:rPr>
                      <w:rFonts w:eastAsia="宋体"/>
                      <w:color w:val="000000"/>
                      <w:kern w:val="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86" w:type="dxa"/>
                  <w:vAlign w:val="center"/>
                </w:tcPr>
                <w:p>
                  <w:pPr>
                    <w:pStyle w:val="36"/>
                    <w:rPr>
                      <w:rFonts w:eastAsia="宋体"/>
                      <w:color w:val="000000"/>
                      <w:kern w:val="2"/>
                      <w:sz w:val="21"/>
                      <w:szCs w:val="21"/>
                    </w:rPr>
                  </w:pPr>
                  <w:r>
                    <w:rPr>
                      <w:rFonts w:eastAsia="宋体"/>
                      <w:color w:val="000000"/>
                      <w:kern w:val="2"/>
                      <w:sz w:val="21"/>
                      <w:szCs w:val="21"/>
                    </w:rPr>
                    <w:t>最高允许排放浓度(mg/m</w:t>
                  </w:r>
                  <w:r>
                    <w:rPr>
                      <w:rFonts w:eastAsia="宋体"/>
                      <w:color w:val="000000"/>
                      <w:kern w:val="2"/>
                      <w:sz w:val="21"/>
                      <w:szCs w:val="21"/>
                      <w:vertAlign w:val="superscript"/>
                    </w:rPr>
                    <w:t>3</w:t>
                  </w:r>
                  <w:r>
                    <w:rPr>
                      <w:rFonts w:eastAsia="宋体"/>
                      <w:color w:val="000000"/>
                      <w:kern w:val="2"/>
                      <w:sz w:val="21"/>
                      <w:szCs w:val="21"/>
                    </w:rPr>
                    <w:t>)</w:t>
                  </w:r>
                </w:p>
              </w:tc>
              <w:tc>
                <w:tcPr>
                  <w:tcW w:w="4771" w:type="dxa"/>
                  <w:gridSpan w:val="3"/>
                  <w:vAlign w:val="center"/>
                </w:tcPr>
                <w:p>
                  <w:pPr>
                    <w:pStyle w:val="36"/>
                    <w:rPr>
                      <w:rFonts w:eastAsia="宋体"/>
                      <w:color w:val="000000"/>
                      <w:kern w:val="2"/>
                      <w:sz w:val="21"/>
                      <w:szCs w:val="21"/>
                    </w:rPr>
                  </w:pPr>
                  <w:r>
                    <w:rPr>
                      <w:rFonts w:eastAsia="宋体"/>
                      <w:color w:val="000000"/>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86" w:type="dxa"/>
                  <w:vAlign w:val="center"/>
                </w:tcPr>
                <w:p>
                  <w:pPr>
                    <w:pStyle w:val="36"/>
                    <w:rPr>
                      <w:rFonts w:eastAsia="宋体"/>
                      <w:color w:val="000000"/>
                      <w:kern w:val="2"/>
                      <w:sz w:val="21"/>
                      <w:szCs w:val="21"/>
                    </w:rPr>
                  </w:pPr>
                  <w:r>
                    <w:rPr>
                      <w:rFonts w:eastAsia="宋体"/>
                      <w:color w:val="000000"/>
                      <w:kern w:val="2"/>
                      <w:sz w:val="21"/>
                      <w:szCs w:val="21"/>
                    </w:rPr>
                    <w:t>净化设施最低去除率(%)</w:t>
                  </w:r>
                </w:p>
              </w:tc>
              <w:tc>
                <w:tcPr>
                  <w:tcW w:w="1372" w:type="dxa"/>
                  <w:vAlign w:val="center"/>
                </w:tcPr>
                <w:p>
                  <w:pPr>
                    <w:pStyle w:val="36"/>
                    <w:rPr>
                      <w:rFonts w:eastAsia="宋体"/>
                      <w:color w:val="000000"/>
                      <w:kern w:val="2"/>
                      <w:sz w:val="21"/>
                      <w:szCs w:val="21"/>
                    </w:rPr>
                  </w:pPr>
                  <w:r>
                    <w:rPr>
                      <w:rFonts w:eastAsia="宋体"/>
                      <w:color w:val="000000"/>
                      <w:kern w:val="2"/>
                      <w:sz w:val="21"/>
                      <w:szCs w:val="21"/>
                    </w:rPr>
                    <w:t>60</w:t>
                  </w:r>
                </w:p>
              </w:tc>
              <w:tc>
                <w:tcPr>
                  <w:tcW w:w="1571" w:type="dxa"/>
                  <w:vAlign w:val="center"/>
                </w:tcPr>
                <w:p>
                  <w:pPr>
                    <w:pStyle w:val="36"/>
                    <w:rPr>
                      <w:rFonts w:eastAsia="宋体"/>
                      <w:color w:val="000000"/>
                      <w:kern w:val="2"/>
                      <w:sz w:val="21"/>
                      <w:szCs w:val="21"/>
                    </w:rPr>
                  </w:pPr>
                  <w:r>
                    <w:rPr>
                      <w:rFonts w:eastAsia="宋体"/>
                      <w:color w:val="000000"/>
                      <w:kern w:val="2"/>
                      <w:sz w:val="21"/>
                      <w:szCs w:val="21"/>
                    </w:rPr>
                    <w:t>75</w:t>
                  </w:r>
                </w:p>
              </w:tc>
              <w:tc>
                <w:tcPr>
                  <w:tcW w:w="1828" w:type="dxa"/>
                  <w:vAlign w:val="center"/>
                </w:tcPr>
                <w:p>
                  <w:pPr>
                    <w:pStyle w:val="36"/>
                    <w:rPr>
                      <w:rFonts w:eastAsia="宋体"/>
                      <w:color w:val="000000"/>
                      <w:kern w:val="2"/>
                      <w:sz w:val="21"/>
                      <w:szCs w:val="21"/>
                    </w:rPr>
                  </w:pPr>
                  <w:r>
                    <w:rPr>
                      <w:rFonts w:eastAsia="宋体"/>
                      <w:color w:val="000000"/>
                      <w:kern w:val="2"/>
                      <w:sz w:val="21"/>
                      <w:szCs w:val="21"/>
                    </w:rPr>
                    <w:t>85</w:t>
                  </w:r>
                </w:p>
              </w:tc>
            </w:tr>
          </w:tbl>
          <w:p>
            <w:pPr>
              <w:spacing w:before="93" w:beforeLines="30" w:line="440" w:lineRule="exact"/>
              <w:ind w:firstLine="480" w:firstLineChars="200"/>
              <w:rPr>
                <w:sz w:val="24"/>
              </w:rPr>
            </w:pPr>
            <w:r>
              <w:rPr>
                <w:rFonts w:hint="eastAsia"/>
                <w:sz w:val="24"/>
              </w:rPr>
              <w:t>3</w:t>
            </w:r>
            <w:r>
              <w:rPr>
                <w:sz w:val="24"/>
              </w:rPr>
              <w:t>、</w:t>
            </w:r>
            <w:r>
              <w:rPr>
                <w:rFonts w:hint="eastAsia"/>
                <w:sz w:val="24"/>
              </w:rPr>
              <w:t>噪声排放标准</w:t>
            </w:r>
          </w:p>
          <w:p>
            <w:pPr>
              <w:pStyle w:val="41"/>
              <w:spacing w:line="360" w:lineRule="auto"/>
              <w:ind w:firstLine="480" w:firstLineChars="200"/>
              <w:rPr>
                <w:rFonts w:ascii="Times New Roman" w:hAnsi="宋体"/>
                <w:sz w:val="24"/>
                <w:szCs w:val="24"/>
              </w:rPr>
            </w:pPr>
            <w:r>
              <w:rPr>
                <w:rFonts w:hint="eastAsia" w:ascii="Times New Roman" w:hAnsi="宋体"/>
                <w:sz w:val="24"/>
                <w:szCs w:val="24"/>
              </w:rPr>
              <w:t>运营期厂界</w:t>
            </w:r>
            <w:r>
              <w:rPr>
                <w:rFonts w:ascii="Times New Roman" w:hAnsi="宋体"/>
                <w:sz w:val="24"/>
                <w:szCs w:val="24"/>
              </w:rPr>
              <w:t>噪声执行《工业企业厂界环境噪声排放标准》（GB12348-2008）中</w:t>
            </w:r>
            <w:r>
              <w:rPr>
                <w:rFonts w:hint="eastAsia" w:ascii="Times New Roman" w:hAnsi="宋体"/>
                <w:sz w:val="24"/>
                <w:szCs w:val="24"/>
              </w:rPr>
              <w:t>3类</w:t>
            </w:r>
            <w:r>
              <w:rPr>
                <w:rFonts w:ascii="Times New Roman" w:hAnsi="宋体"/>
                <w:bCs/>
                <w:sz w:val="24"/>
                <w:szCs w:val="24"/>
              </w:rPr>
              <w:t>标准</w:t>
            </w:r>
            <w:r>
              <w:rPr>
                <w:rFonts w:ascii="Times New Roman" w:hAnsi="宋体"/>
                <w:sz w:val="24"/>
                <w:szCs w:val="24"/>
              </w:rPr>
              <w:t>，具体详见</w:t>
            </w:r>
            <w:r>
              <w:rPr>
                <w:rFonts w:hint="eastAsia" w:ascii="Times New Roman" w:hAnsi="宋体"/>
                <w:sz w:val="24"/>
                <w:szCs w:val="24"/>
              </w:rPr>
              <w:t>下</w:t>
            </w:r>
            <w:r>
              <w:rPr>
                <w:rFonts w:ascii="Times New Roman" w:hAnsi="宋体"/>
                <w:sz w:val="24"/>
                <w:szCs w:val="24"/>
              </w:rPr>
              <w:t>表。</w:t>
            </w:r>
          </w:p>
          <w:p>
            <w:pPr>
              <w:widowControl/>
              <w:spacing w:before="62" w:beforeLines="20" w:line="360" w:lineRule="auto"/>
              <w:jc w:val="center"/>
              <w:rPr>
                <w:b/>
                <w:kern w:val="0"/>
                <w:sz w:val="24"/>
              </w:rPr>
            </w:pPr>
            <w:r>
              <w:rPr>
                <w:b/>
                <w:kern w:val="0"/>
                <w:sz w:val="24"/>
              </w:rPr>
              <w:t>表</w:t>
            </w:r>
            <w:r>
              <w:rPr>
                <w:rFonts w:hint="eastAsia"/>
                <w:b/>
                <w:sz w:val="24"/>
              </w:rPr>
              <w:t>1-5</w:t>
            </w:r>
            <w:r>
              <w:rPr>
                <w:b/>
                <w:kern w:val="0"/>
                <w:sz w:val="24"/>
              </w:rPr>
              <w:t>工业企业厂界环境噪声排放标准</w:t>
            </w:r>
          </w:p>
          <w:tbl>
            <w:tblPr>
              <w:tblStyle w:val="23"/>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641"/>
              <w:gridCol w:w="640"/>
              <w:gridCol w:w="56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rFonts w:hint="eastAsia"/>
                      <w:bCs/>
                    </w:rPr>
                    <w:t>类别</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rFonts w:hint="eastAsia"/>
                      <w:bCs/>
                    </w:rPr>
                    <w:t>昼间</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rFonts w:hint="eastAsia"/>
                      <w:bCs/>
                    </w:rPr>
                    <w:t>夜间</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rFonts w:hint="eastAsia"/>
                      <w:bCs/>
                    </w:rPr>
                    <w:t>标准来源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5"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bCs/>
                    </w:rPr>
                    <w:t>3</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bCs/>
                    </w:rPr>
                    <w:t>65</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bCs/>
                    </w:rPr>
                    <w:t>55</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bCs/>
                    </w:rPr>
                  </w:pPr>
                  <w:r>
                    <w:rPr>
                      <w:rFonts w:hint="eastAsia"/>
                    </w:rPr>
                    <w:t>《工业企业厂界环境噪声排放标准》（</w:t>
                  </w:r>
                  <w:r>
                    <w:t>GB12348-2008</w:t>
                  </w:r>
                  <w:r>
                    <w:rPr>
                      <w:rFonts w:hint="eastAsia"/>
                    </w:rPr>
                    <w:t>）</w:t>
                  </w:r>
                  <w:r>
                    <w:rPr>
                      <w:bCs/>
                    </w:rPr>
                    <w:t>3</w:t>
                  </w:r>
                  <w:r>
                    <w:rPr>
                      <w:rFonts w:hint="eastAsia"/>
                    </w:rPr>
                    <w:t>类标准</w:t>
                  </w:r>
                </w:p>
              </w:tc>
            </w:tr>
          </w:tbl>
          <w:p>
            <w:pPr>
              <w:spacing w:line="440" w:lineRule="exact"/>
              <w:ind w:firstLine="480" w:firstLineChars="200"/>
              <w:rPr>
                <w:sz w:val="24"/>
              </w:rPr>
            </w:pPr>
            <w:r>
              <w:rPr>
                <w:rFonts w:hint="eastAsia"/>
                <w:sz w:val="24"/>
              </w:rPr>
              <w:t>4、固废</w:t>
            </w:r>
          </w:p>
          <w:p>
            <w:pPr>
              <w:spacing w:line="360" w:lineRule="auto"/>
              <w:ind w:firstLine="480" w:firstLineChars="200"/>
              <w:jc w:val="left"/>
              <w:rPr>
                <w:color w:val="FF0000"/>
              </w:rPr>
            </w:pPr>
            <w:r>
              <w:rPr>
                <w:sz w:val="24"/>
              </w:rPr>
              <w:t>一般固废执行《一般工业固体废物贮存和填埋污染控制标准》（GB18599-2020）中相关要求；危险废物执行《危险废物贮存污染控制标准》（GB18597-2001）及修改单中相关要求。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spacing w:line="360" w:lineRule="auto"/>
              <w:ind w:firstLine="480" w:firstLineChars="200"/>
              <w:rPr>
                <w:bCs/>
                <w:color w:val="000000"/>
                <w:sz w:val="24"/>
              </w:rPr>
            </w:pPr>
            <w:r>
              <w:rPr>
                <w:bCs/>
                <w:color w:val="000000"/>
                <w:sz w:val="24"/>
              </w:rPr>
              <w:t>本项目</w:t>
            </w:r>
            <w:r>
              <w:rPr>
                <w:rFonts w:hint="eastAsia"/>
                <w:bCs/>
                <w:color w:val="000000"/>
                <w:sz w:val="24"/>
              </w:rPr>
              <w:t>环评未申请污染物总量，根据实际验收监测情况，</w:t>
            </w:r>
            <w:r>
              <w:rPr>
                <w:bCs/>
                <w:color w:val="000000"/>
                <w:sz w:val="24"/>
              </w:rPr>
              <w:t>废气总量为非甲烷总烃：</w:t>
            </w:r>
            <w:r>
              <w:rPr>
                <w:rFonts w:hint="eastAsia"/>
                <w:bCs/>
                <w:color w:val="000000"/>
                <w:sz w:val="24"/>
              </w:rPr>
              <w:t>0.164</w:t>
            </w:r>
            <w:r>
              <w:rPr>
                <w:bCs/>
                <w:color w:val="000000"/>
                <w:sz w:val="24"/>
              </w:rPr>
              <w:t>t/a</w:t>
            </w:r>
            <w:r>
              <w:rPr>
                <w:rFonts w:hint="eastAsia"/>
                <w:bCs/>
                <w:color w:val="000000"/>
                <w:sz w:val="24"/>
              </w:rPr>
              <w:t>。</w:t>
            </w:r>
          </w:p>
          <w:p>
            <w:pPr>
              <w:adjustRightInd w:val="0"/>
              <w:spacing w:before="156" w:beforeLines="50" w:line="360" w:lineRule="auto"/>
              <w:ind w:firstLine="480" w:firstLineChars="200"/>
              <w:rPr>
                <w:sz w:val="24"/>
              </w:rPr>
            </w:pPr>
          </w:p>
          <w:p>
            <w:pPr>
              <w:spacing w:line="360" w:lineRule="auto"/>
              <w:ind w:firstLine="420" w:firstLineChars="200"/>
            </w:pPr>
          </w:p>
          <w:p>
            <w:pPr>
              <w:pStyle w:val="9"/>
            </w:pPr>
          </w:p>
          <w:p>
            <w:pPr>
              <w:pStyle w:val="9"/>
            </w:pPr>
          </w:p>
          <w:p>
            <w:pPr>
              <w:pStyle w:val="9"/>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spacing w:line="360" w:lineRule="auto"/>
              <w:jc w:val="left"/>
              <w:rPr>
                <w:b/>
                <w:kern w:val="0"/>
                <w:sz w:val="28"/>
                <w:szCs w:val="28"/>
              </w:rPr>
            </w:pPr>
            <w:r>
              <w:rPr>
                <w:b/>
                <w:kern w:val="0"/>
                <w:sz w:val="28"/>
                <w:szCs w:val="28"/>
              </w:rPr>
              <w:t>2.1前言</w:t>
            </w:r>
          </w:p>
          <w:p>
            <w:pPr>
              <w:spacing w:line="360" w:lineRule="auto"/>
              <w:ind w:firstLine="480" w:firstLineChars="200"/>
              <w:rPr>
                <w:kern w:val="0"/>
                <w:sz w:val="24"/>
              </w:rPr>
            </w:pPr>
            <w:r>
              <w:rPr>
                <w:rFonts w:hint="eastAsia"/>
                <w:sz w:val="24"/>
              </w:rPr>
              <w:t>安徽省振兴节能科技有限公司</w:t>
            </w:r>
            <w:r>
              <w:rPr>
                <w:sz w:val="24"/>
              </w:rPr>
              <w:t>投资</w:t>
            </w:r>
            <w:r>
              <w:rPr>
                <w:rFonts w:hint="eastAsia"/>
                <w:sz w:val="24"/>
              </w:rPr>
              <w:t>14000</w:t>
            </w:r>
            <w:r>
              <w:rPr>
                <w:sz w:val="24"/>
              </w:rPr>
              <w:t>万元位于</w:t>
            </w:r>
            <w:r>
              <w:rPr>
                <w:bCs/>
                <w:color w:val="000000"/>
                <w:sz w:val="24"/>
              </w:rPr>
              <w:t>安徽省</w:t>
            </w:r>
            <w:r>
              <w:rPr>
                <w:rFonts w:hint="eastAsia"/>
                <w:color w:val="000000"/>
                <w:sz w:val="24"/>
              </w:rPr>
              <w:t>合肥循环经济示范园龙兴大道与乳泉路交口东南侧</w:t>
            </w:r>
            <w:r>
              <w:rPr>
                <w:sz w:val="24"/>
              </w:rPr>
              <w:t>建设</w:t>
            </w:r>
            <w:r>
              <w:rPr>
                <w:rFonts w:hint="eastAsia"/>
                <w:sz w:val="24"/>
              </w:rPr>
              <w:t>玻璃深加工</w:t>
            </w:r>
            <w:r>
              <w:rPr>
                <w:sz w:val="24"/>
              </w:rPr>
              <w:t>项目</w:t>
            </w:r>
            <w:r>
              <w:rPr>
                <w:rFonts w:hint="eastAsia"/>
                <w:sz w:val="24"/>
              </w:rPr>
              <w:t>，</w:t>
            </w:r>
            <w:r>
              <w:rPr>
                <w:color w:val="000000"/>
                <w:sz w:val="24"/>
              </w:rPr>
              <w:t>项目用地约</w:t>
            </w:r>
            <w:r>
              <w:rPr>
                <w:rFonts w:hint="eastAsia"/>
                <w:color w:val="000000"/>
                <w:sz w:val="24"/>
              </w:rPr>
              <w:t>39.3</w:t>
            </w:r>
            <w:r>
              <w:rPr>
                <w:color w:val="000000"/>
                <w:sz w:val="24"/>
              </w:rPr>
              <w:t>亩，</w:t>
            </w:r>
            <w:r>
              <w:rPr>
                <w:rFonts w:hint="eastAsia"/>
                <w:color w:val="000000"/>
                <w:sz w:val="24"/>
              </w:rPr>
              <w:t>建筑面积约26580</w:t>
            </w:r>
            <w:r>
              <w:rPr>
                <w:color w:val="000000"/>
                <w:sz w:val="24"/>
              </w:rPr>
              <w:t>平方米</w:t>
            </w:r>
            <w:r>
              <w:rPr>
                <w:sz w:val="24"/>
              </w:rPr>
              <w:t>，建成后</w:t>
            </w:r>
            <w:r>
              <w:rPr>
                <w:rFonts w:hint="eastAsia"/>
                <w:color w:val="000000"/>
                <w:sz w:val="24"/>
              </w:rPr>
              <w:t>年加工钢化玻璃75万平方米、节能中空玻璃50万平方米、内置百叶玻璃12.5万平方米、夹层玻璃10万平方米、百叶系统6.25万平方米。</w:t>
            </w:r>
            <w:r>
              <w:rPr>
                <w:color w:val="000000"/>
                <w:sz w:val="24"/>
              </w:rPr>
              <w:t>项目达产后可形成</w:t>
            </w:r>
            <w:r>
              <w:rPr>
                <w:rFonts w:hint="eastAsia"/>
                <w:color w:val="000000"/>
                <w:sz w:val="24"/>
              </w:rPr>
              <w:t>节能安全</w:t>
            </w:r>
            <w:r>
              <w:rPr>
                <w:color w:val="000000"/>
                <w:sz w:val="24"/>
              </w:rPr>
              <w:t>玻璃</w:t>
            </w:r>
            <w:r>
              <w:rPr>
                <w:rFonts w:hint="eastAsia"/>
                <w:color w:val="000000"/>
                <w:sz w:val="24"/>
              </w:rPr>
              <w:t>153.75</w:t>
            </w:r>
            <w:r>
              <w:rPr>
                <w:color w:val="000000"/>
                <w:sz w:val="24"/>
              </w:rPr>
              <w:t>万平方米的生产能力。</w:t>
            </w:r>
            <w:r>
              <w:rPr>
                <w:rFonts w:hint="eastAsia"/>
                <w:kern w:val="0"/>
                <w:sz w:val="24"/>
              </w:rPr>
              <w:t>本次验收内容为</w:t>
            </w:r>
            <w:r>
              <w:rPr>
                <w:rFonts w:hint="eastAsia"/>
                <w:sz w:val="24"/>
              </w:rPr>
              <w:t>安徽省振兴节能科技有限公司</w:t>
            </w:r>
            <w:r>
              <w:rPr>
                <w:bCs/>
                <w:sz w:val="24"/>
              </w:rPr>
              <w:t>玻璃</w:t>
            </w:r>
            <w:r>
              <w:rPr>
                <w:rFonts w:hint="eastAsia"/>
                <w:bCs/>
                <w:sz w:val="24"/>
              </w:rPr>
              <w:t>深</w:t>
            </w:r>
            <w:r>
              <w:rPr>
                <w:bCs/>
                <w:sz w:val="24"/>
              </w:rPr>
              <w:t>加工项目</w:t>
            </w:r>
            <w:r>
              <w:rPr>
                <w:rFonts w:hint="eastAsia"/>
                <w:kern w:val="0"/>
                <w:szCs w:val="21"/>
              </w:rPr>
              <w:t>。</w:t>
            </w:r>
            <w:r>
              <w:rPr>
                <w:rFonts w:hint="eastAsia"/>
                <w:kern w:val="0"/>
                <w:sz w:val="24"/>
              </w:rPr>
              <w:t>本项目委托安徽启晨环境科技有限公司编制环评报告时间为2020年9月，环评批复时间为2020年11月24日。</w:t>
            </w:r>
          </w:p>
          <w:p>
            <w:pPr>
              <w:spacing w:line="360" w:lineRule="auto"/>
              <w:ind w:firstLine="480" w:firstLineChars="200"/>
              <w:rPr>
                <w:sz w:val="24"/>
              </w:rPr>
            </w:pPr>
            <w:r>
              <w:rPr>
                <w:sz w:val="24"/>
              </w:rPr>
              <w:t>根据《中华人民共和国环境保护法》、《中华人民共和国环境影响评价法》和《建设项目环境保护管理条例》的有关规定，</w:t>
            </w:r>
            <w:r>
              <w:rPr>
                <w:rFonts w:hint="eastAsia"/>
                <w:color w:val="000000"/>
                <w:sz w:val="24"/>
              </w:rPr>
              <w:t>安徽省振兴节能科技</w:t>
            </w:r>
            <w:r>
              <w:rPr>
                <w:color w:val="000000"/>
                <w:sz w:val="24"/>
              </w:rPr>
              <w:t>有限公司</w:t>
            </w:r>
            <w:r>
              <w:rPr>
                <w:rFonts w:hint="eastAsia"/>
                <w:sz w:val="24"/>
              </w:rPr>
              <w:t>于2020年9月委托安徽启晨环境科技有限公司</w:t>
            </w:r>
            <w:r>
              <w:rPr>
                <w:sz w:val="24"/>
              </w:rPr>
              <w:t>对</w:t>
            </w:r>
            <w:r>
              <w:rPr>
                <w:rFonts w:hint="eastAsia"/>
                <w:sz w:val="24"/>
              </w:rPr>
              <w:t>本</w:t>
            </w:r>
            <w:r>
              <w:rPr>
                <w:sz w:val="24"/>
              </w:rPr>
              <w:t>项目进行环境影响评价，并编制了《</w:t>
            </w:r>
            <w:r>
              <w:rPr>
                <w:rFonts w:hint="eastAsia"/>
                <w:color w:val="000000"/>
                <w:sz w:val="24"/>
              </w:rPr>
              <w:t>安徽省振兴节能科技</w:t>
            </w:r>
            <w:r>
              <w:rPr>
                <w:color w:val="000000"/>
                <w:sz w:val="24"/>
              </w:rPr>
              <w:t>有限公司</w:t>
            </w:r>
            <w:r>
              <w:rPr>
                <w:rFonts w:hint="eastAsia"/>
                <w:sz w:val="24"/>
              </w:rPr>
              <w:t>玻璃深加工项目</w:t>
            </w:r>
            <w:r>
              <w:rPr>
                <w:sz w:val="24"/>
              </w:rPr>
              <w:t>环境影响报告表》。20</w:t>
            </w:r>
            <w:r>
              <w:rPr>
                <w:rFonts w:hint="eastAsia"/>
                <w:sz w:val="24"/>
              </w:rPr>
              <w:t>20</w:t>
            </w:r>
            <w:r>
              <w:rPr>
                <w:sz w:val="24"/>
              </w:rPr>
              <w:t>年</w:t>
            </w:r>
            <w:r>
              <w:rPr>
                <w:rFonts w:hint="eastAsia"/>
                <w:sz w:val="24"/>
              </w:rPr>
              <w:t>11月24</w:t>
            </w:r>
            <w:r>
              <w:rPr>
                <w:sz w:val="24"/>
              </w:rPr>
              <w:t>日</w:t>
            </w:r>
            <w:r>
              <w:rPr>
                <w:rFonts w:hint="eastAsia"/>
                <w:sz w:val="24"/>
              </w:rPr>
              <w:t>，肥东县环境保护局下发审批意见，</w:t>
            </w:r>
            <w:r>
              <w:rPr>
                <w:sz w:val="24"/>
              </w:rPr>
              <w:t>同意</w:t>
            </w:r>
            <w:r>
              <w:rPr>
                <w:rFonts w:hint="eastAsia"/>
                <w:sz w:val="24"/>
              </w:rPr>
              <w:t>本</w:t>
            </w:r>
            <w:r>
              <w:rPr>
                <w:sz w:val="24"/>
              </w:rPr>
              <w:t>项目建设。</w:t>
            </w:r>
          </w:p>
          <w:p>
            <w:pPr>
              <w:spacing w:line="360" w:lineRule="auto"/>
              <w:ind w:firstLine="480" w:firstLineChars="200"/>
              <w:rPr>
                <w:color w:val="FF0000"/>
                <w:kern w:val="0"/>
                <w:sz w:val="24"/>
              </w:rPr>
            </w:pPr>
            <w:r>
              <w:rPr>
                <w:rFonts w:hint="eastAsia"/>
                <w:sz w:val="24"/>
              </w:rPr>
              <w:t>本项目于2020年12月开工建设，2021年12月竣工。</w:t>
            </w:r>
            <w:r>
              <w:rPr>
                <w:sz w:val="24"/>
              </w:rPr>
              <w:t>根据《建设项目环境保护管理条例》</w:t>
            </w:r>
            <w:r>
              <w:rPr>
                <w:rFonts w:hint="eastAsia"/>
                <w:sz w:val="24"/>
              </w:rPr>
              <w:t>（</w:t>
            </w:r>
            <w:r>
              <w:rPr>
                <w:sz w:val="24"/>
              </w:rPr>
              <w:t>国务院令第682号</w:t>
            </w:r>
            <w:r>
              <w:rPr>
                <w:rFonts w:hint="eastAsia"/>
                <w:sz w:val="24"/>
              </w:rPr>
              <w:t>）</w:t>
            </w:r>
            <w:r>
              <w:rPr>
                <w:sz w:val="24"/>
              </w:rPr>
              <w:t>和《建设项目竣工环境保护验收暂行办法》</w:t>
            </w:r>
            <w:r>
              <w:rPr>
                <w:rFonts w:hint="eastAsia"/>
                <w:sz w:val="24"/>
              </w:rPr>
              <w:t>（国环规环评[2017]4号）等有关规定，建设项目需要配套建设的环境保护设施</w:t>
            </w:r>
            <w:r>
              <w:rPr>
                <w:sz w:val="24"/>
              </w:rPr>
              <w:t>，</w:t>
            </w:r>
            <w:r>
              <w:rPr>
                <w:rFonts w:hint="eastAsia"/>
                <w:sz w:val="24"/>
              </w:rPr>
              <w:t>必须与主体工程同时设计、同时施工、同时投产使用。建设项目竣工后，建设单位应当如实查验、监测、记载建设项目环境保护设施的建设和运行情况。安徽省振兴节能科技有限公司</w:t>
            </w:r>
            <w:r>
              <w:rPr>
                <w:rFonts w:hint="eastAsia"/>
                <w:sz w:val="24"/>
                <w:lang w:eastAsia="zh-CN"/>
              </w:rPr>
              <w:t>排污许可编号为：</w:t>
            </w:r>
            <w:r>
              <w:rPr>
                <w:rFonts w:hint="eastAsia"/>
                <w:sz w:val="24"/>
              </w:rPr>
              <w:t>91340122MA2W0BL2XX</w:t>
            </w:r>
            <w:r>
              <w:rPr>
                <w:rFonts w:hint="eastAsia"/>
                <w:sz w:val="24"/>
                <w:lang w:val="en-US" w:eastAsia="zh-CN"/>
              </w:rPr>
              <w:t>001W。</w:t>
            </w:r>
            <w:r>
              <w:rPr>
                <w:rFonts w:hint="eastAsia"/>
                <w:sz w:val="24"/>
              </w:rPr>
              <w:t>2022年1月，安徽省</w:t>
            </w:r>
            <w:r>
              <w:rPr>
                <w:rFonts w:hint="eastAsia"/>
                <w:color w:val="000000"/>
                <w:sz w:val="24"/>
              </w:rPr>
              <w:t>振兴节能科技</w:t>
            </w:r>
            <w:r>
              <w:rPr>
                <w:color w:val="000000"/>
                <w:sz w:val="24"/>
              </w:rPr>
              <w:t>有限公司</w:t>
            </w:r>
            <w:r>
              <w:rPr>
                <w:rFonts w:hint="eastAsia"/>
                <w:kern w:val="0"/>
                <w:sz w:val="24"/>
              </w:rPr>
              <w:t>编制本项目验收报告，并由安徽尚德谱检测技术有限责任公司</w:t>
            </w:r>
            <w:r>
              <w:rPr>
                <w:kern w:val="0"/>
                <w:sz w:val="24"/>
              </w:rPr>
              <w:t>组织监测人员对本项目排放的</w:t>
            </w:r>
            <w:r>
              <w:rPr>
                <w:color w:val="000000"/>
                <w:kern w:val="0"/>
                <w:sz w:val="24"/>
              </w:rPr>
              <w:t>废气、废水、噪声进行了验收监测</w:t>
            </w:r>
            <w:r>
              <w:rPr>
                <w:rFonts w:hint="eastAsia"/>
                <w:kern w:val="0"/>
                <w:sz w:val="24"/>
              </w:rPr>
              <w:t xml:space="preserve">。                             </w:t>
            </w:r>
          </w:p>
          <w:p>
            <w:pPr>
              <w:spacing w:line="360" w:lineRule="auto"/>
              <w:ind w:firstLine="480" w:firstLineChars="200"/>
              <w:rPr>
                <w:sz w:val="24"/>
              </w:rPr>
            </w:pPr>
            <w:r>
              <w:rPr>
                <w:rFonts w:hint="eastAsia"/>
                <w:color w:val="000000"/>
                <w:sz w:val="24"/>
              </w:rPr>
              <w:t>安徽省振兴节能科技</w:t>
            </w:r>
            <w:r>
              <w:rPr>
                <w:color w:val="000000"/>
                <w:sz w:val="24"/>
              </w:rPr>
              <w:t>有限公司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rPr>
            </w:pPr>
            <w:r>
              <w:rPr>
                <w:sz w:val="24"/>
              </w:rPr>
              <w:t>本次验收</w:t>
            </w:r>
            <w:r>
              <w:rPr>
                <w:rFonts w:hint="eastAsia"/>
                <w:sz w:val="24"/>
              </w:rPr>
              <w:t>主要</w:t>
            </w:r>
            <w:r>
              <w:rPr>
                <w:sz w:val="24"/>
              </w:rPr>
              <w:t>内容</w:t>
            </w:r>
            <w:r>
              <w:rPr>
                <w:rFonts w:hint="eastAsia"/>
                <w:sz w:val="24"/>
              </w:rPr>
              <w:t>包括</w:t>
            </w:r>
            <w:r>
              <w:rPr>
                <w:sz w:val="24"/>
              </w:rPr>
              <w:t>：</w:t>
            </w:r>
            <w:r>
              <w:rPr>
                <w:color w:val="000000"/>
                <w:sz w:val="24"/>
              </w:rPr>
              <w:t>（1）废气监测；（2）废水监测；（3）噪声监测；（4）固体废物检查；（5）环境管理检查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eastAsia"/>
                <w:color w:val="000000"/>
                <w:sz w:val="24"/>
              </w:rPr>
              <w:t>安徽省振兴节能科技</w:t>
            </w:r>
            <w:r>
              <w:rPr>
                <w:color w:val="000000"/>
                <w:sz w:val="24"/>
              </w:rPr>
              <w:t>有限公司</w:t>
            </w:r>
            <w:r>
              <w:rPr>
                <w:sz w:val="24"/>
              </w:rPr>
              <w:t>；</w:t>
            </w:r>
          </w:p>
          <w:p>
            <w:pPr>
              <w:spacing w:line="360" w:lineRule="auto"/>
              <w:ind w:firstLine="480" w:firstLineChars="200"/>
              <w:rPr>
                <w:sz w:val="24"/>
              </w:rPr>
            </w:pPr>
            <w:r>
              <w:rPr>
                <w:sz w:val="24"/>
              </w:rPr>
              <w:t>项目名称：</w:t>
            </w:r>
            <w:r>
              <w:rPr>
                <w:rFonts w:hint="eastAsia"/>
                <w:sz w:val="24"/>
              </w:rPr>
              <w:t>玻璃深加工</w:t>
            </w:r>
            <w:r>
              <w:rPr>
                <w:sz w:val="24"/>
              </w:rPr>
              <w:t>项目；</w:t>
            </w:r>
          </w:p>
          <w:p>
            <w:pPr>
              <w:spacing w:line="360" w:lineRule="auto"/>
              <w:ind w:firstLine="480" w:firstLineChars="200"/>
              <w:rPr>
                <w:sz w:val="24"/>
              </w:rPr>
            </w:pPr>
            <w:r>
              <w:rPr>
                <w:sz w:val="24"/>
              </w:rPr>
              <w:t>建设地点：</w:t>
            </w:r>
            <w:r>
              <w:rPr>
                <w:bCs/>
                <w:color w:val="000000"/>
                <w:sz w:val="24"/>
              </w:rPr>
              <w:t>安徽省</w:t>
            </w:r>
            <w:r>
              <w:rPr>
                <w:rFonts w:hint="eastAsia"/>
                <w:color w:val="000000"/>
                <w:sz w:val="24"/>
              </w:rPr>
              <w:t>合肥循环经济示范园龙兴大道与乳泉路交口东南侧</w:t>
            </w:r>
            <w:r>
              <w:rPr>
                <w:rFonts w:hint="eastAsia"/>
                <w:sz w:val="24"/>
              </w:rPr>
              <w:t>，</w:t>
            </w:r>
            <w:r>
              <w:rPr>
                <w:rFonts w:hAnsi="宋体"/>
                <w:sz w:val="24"/>
              </w:rPr>
              <w:t>厂址中心地理坐标为</w:t>
            </w:r>
            <w:r>
              <w:rPr>
                <w:rFonts w:hint="eastAsia"/>
                <w:sz w:val="24"/>
              </w:rPr>
              <w:t>东经117</w:t>
            </w:r>
            <w:r>
              <w:rPr>
                <w:sz w:val="24"/>
              </w:rPr>
              <w:t>°</w:t>
            </w:r>
            <w:r>
              <w:rPr>
                <w:rFonts w:hint="eastAsia"/>
                <w:sz w:val="24"/>
              </w:rPr>
              <w:t>30</w:t>
            </w:r>
            <w:r>
              <w:rPr>
                <w:sz w:val="24"/>
              </w:rPr>
              <w:t>'</w:t>
            </w:r>
            <w:r>
              <w:rPr>
                <w:rFonts w:hint="eastAsia"/>
                <w:sz w:val="24"/>
              </w:rPr>
              <w:t>17</w:t>
            </w:r>
            <w:r>
              <w:rPr>
                <w:sz w:val="24"/>
              </w:rPr>
              <w:t>"</w:t>
            </w:r>
            <w:r>
              <w:rPr>
                <w:rFonts w:hint="eastAsia"/>
                <w:sz w:val="24"/>
              </w:rPr>
              <w:t>，北纬31</w:t>
            </w:r>
            <w:r>
              <w:rPr>
                <w:sz w:val="24"/>
              </w:rPr>
              <w:t>°</w:t>
            </w:r>
            <w:r>
              <w:rPr>
                <w:rFonts w:hint="eastAsia"/>
                <w:sz w:val="24"/>
              </w:rPr>
              <w:t>45</w:t>
            </w:r>
            <w:r>
              <w:rPr>
                <w:sz w:val="24"/>
              </w:rPr>
              <w:t>'</w:t>
            </w:r>
            <w:r>
              <w:rPr>
                <w:rFonts w:hint="eastAsia"/>
                <w:sz w:val="24"/>
              </w:rPr>
              <w:t>31</w:t>
            </w:r>
            <w:r>
              <w:rPr>
                <w:sz w:val="24"/>
              </w:rPr>
              <w:t>"；</w:t>
            </w:r>
          </w:p>
          <w:p>
            <w:pPr>
              <w:spacing w:line="360" w:lineRule="auto"/>
              <w:ind w:firstLine="480" w:firstLineChars="200"/>
              <w:rPr>
                <w:sz w:val="24"/>
              </w:rPr>
            </w:pPr>
            <w:r>
              <w:rPr>
                <w:sz w:val="24"/>
              </w:rPr>
              <w:t>项目性质：</w:t>
            </w:r>
            <w:r>
              <w:rPr>
                <w:rFonts w:hint="eastAsia"/>
                <w:sz w:val="24"/>
              </w:rPr>
              <w:t>新建</w:t>
            </w:r>
            <w:r>
              <w:rPr>
                <w:sz w:val="24"/>
              </w:rPr>
              <w:t>；</w:t>
            </w:r>
          </w:p>
          <w:p>
            <w:pPr>
              <w:spacing w:line="360" w:lineRule="auto"/>
              <w:ind w:firstLine="480" w:firstLineChars="200"/>
              <w:rPr>
                <w:sz w:val="24"/>
              </w:rPr>
            </w:pPr>
            <w:r>
              <w:rPr>
                <w:sz w:val="24"/>
              </w:rPr>
              <w:t>工程投资：本项目总投资</w:t>
            </w:r>
            <w:r>
              <w:rPr>
                <w:rFonts w:hint="eastAsia"/>
                <w:bCs/>
                <w:color w:val="000000"/>
                <w:sz w:val="24"/>
              </w:rPr>
              <w:t>14000</w:t>
            </w:r>
            <w:r>
              <w:rPr>
                <w:sz w:val="24"/>
              </w:rPr>
              <w:t>万元，环保投资</w:t>
            </w:r>
            <w:r>
              <w:rPr>
                <w:rFonts w:hint="eastAsia"/>
                <w:sz w:val="24"/>
              </w:rPr>
              <w:t>60</w:t>
            </w:r>
            <w:r>
              <w:rPr>
                <w:sz w:val="24"/>
              </w:rPr>
              <w:t>万元。</w:t>
            </w:r>
          </w:p>
          <w:p>
            <w:pPr>
              <w:spacing w:line="360" w:lineRule="auto"/>
              <w:ind w:firstLine="480" w:firstLineChars="200"/>
              <w:rPr>
                <w:sz w:val="24"/>
              </w:rPr>
            </w:pPr>
            <w:bookmarkStart w:id="1" w:name="_Hlk11335502"/>
            <w:r>
              <w:rPr>
                <w:bCs/>
                <w:sz w:val="24"/>
              </w:rPr>
              <w:t>劳动人员及生产天数：本项目劳动定员</w:t>
            </w:r>
            <w:r>
              <w:rPr>
                <w:rFonts w:hint="eastAsia"/>
                <w:bCs/>
                <w:sz w:val="24"/>
              </w:rPr>
              <w:t>120</w:t>
            </w:r>
            <w:r>
              <w:rPr>
                <w:bCs/>
                <w:sz w:val="24"/>
              </w:rPr>
              <w:t>人，</w:t>
            </w:r>
            <w:r>
              <w:rPr>
                <w:rFonts w:hint="eastAsia" w:hAnsi="宋体"/>
                <w:kern w:val="0"/>
                <w:sz w:val="24"/>
              </w:rPr>
              <w:t>实行一班制，每天工作8小时，年工作300天。</w:t>
            </w:r>
            <w:r>
              <w:rPr>
                <w:sz w:val="24"/>
              </w:rPr>
              <w:t>项目</w:t>
            </w:r>
            <w:r>
              <w:rPr>
                <w:rFonts w:hint="eastAsia"/>
                <w:sz w:val="24"/>
              </w:rPr>
              <w:t>厂区提供食堂</w:t>
            </w:r>
            <w:r>
              <w:rPr>
                <w:sz w:val="24"/>
              </w:rPr>
              <w:t>。</w:t>
            </w:r>
          </w:p>
          <w:bookmarkEnd w:id="1"/>
          <w:p>
            <w:pPr>
              <w:spacing w:line="360" w:lineRule="auto"/>
              <w:ind w:firstLine="480" w:firstLineChars="200"/>
              <w:rPr>
                <w:sz w:val="24"/>
              </w:rPr>
            </w:pPr>
            <w:r>
              <w:rPr>
                <w:color w:val="000000"/>
                <w:sz w:val="24"/>
                <w:szCs w:val="22"/>
              </w:rPr>
              <w:t>本项目主要建设内容为生产厂</w:t>
            </w:r>
            <w:r>
              <w:rPr>
                <w:sz w:val="24"/>
                <w:szCs w:val="22"/>
              </w:rPr>
              <w:t>房</w:t>
            </w:r>
            <w:r>
              <w:rPr>
                <w:sz w:val="24"/>
              </w:rPr>
              <w:t>，主要购置</w:t>
            </w:r>
            <w:r>
              <w:rPr>
                <w:rFonts w:hint="eastAsia"/>
                <w:sz w:val="24"/>
              </w:rPr>
              <w:t>切割机</w:t>
            </w:r>
            <w:r>
              <w:rPr>
                <w:sz w:val="24"/>
              </w:rPr>
              <w:t>、</w:t>
            </w:r>
            <w:r>
              <w:rPr>
                <w:rFonts w:hint="eastAsia"/>
                <w:sz w:val="24"/>
              </w:rPr>
              <w:t>打孔机</w:t>
            </w:r>
            <w:r>
              <w:rPr>
                <w:sz w:val="24"/>
              </w:rPr>
              <w:t>、</w:t>
            </w:r>
            <w:r>
              <w:rPr>
                <w:rFonts w:hint="eastAsia"/>
                <w:sz w:val="24"/>
              </w:rPr>
              <w:t>高压釜</w:t>
            </w:r>
            <w:r>
              <w:rPr>
                <w:sz w:val="24"/>
              </w:rPr>
              <w:t>等设备，</w:t>
            </w:r>
            <w:r>
              <w:rPr>
                <w:rFonts w:hint="eastAsia"/>
                <w:sz w:val="24"/>
              </w:rPr>
              <w:t>项目达成</w:t>
            </w:r>
            <w:r>
              <w:rPr>
                <w:sz w:val="24"/>
              </w:rPr>
              <w:t>年产</w:t>
            </w:r>
            <w:r>
              <w:rPr>
                <w:rFonts w:hint="eastAsia"/>
                <w:bCs/>
                <w:sz w:val="24"/>
              </w:rPr>
              <w:t>153.75万平方米节能安全玻璃</w:t>
            </w:r>
            <w:r>
              <w:rPr>
                <w:sz w:val="24"/>
              </w:rPr>
              <w:t>的生产能力</w:t>
            </w:r>
            <w:r>
              <w:rPr>
                <w:rFonts w:hint="eastAsia"/>
                <w:sz w:val="24"/>
              </w:rPr>
              <w:t>，项目工程</w:t>
            </w:r>
            <w:r>
              <w:rPr>
                <w:sz w:val="24"/>
              </w:rPr>
              <w:t>内容及规模：（见表2-1）</w:t>
            </w:r>
          </w:p>
          <w:p>
            <w:pPr>
              <w:spacing w:line="360" w:lineRule="auto"/>
              <w:jc w:val="center"/>
            </w:pPr>
            <w:bookmarkStart w:id="2" w:name="_Hlk11335514"/>
            <w:r>
              <w:rPr>
                <w:b/>
                <w:szCs w:val="21"/>
              </w:rPr>
              <w:t xml:space="preserve">表2-1  </w:t>
            </w:r>
            <w:r>
              <w:rPr>
                <w:rFonts w:hint="eastAsia"/>
                <w:b/>
                <w:szCs w:val="21"/>
              </w:rPr>
              <w:t>项目实际建设内容与环评对比一览表</w:t>
            </w:r>
          </w:p>
          <w:tbl>
            <w:tblPr>
              <w:tblStyle w:val="23"/>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720"/>
              <w:gridCol w:w="3756"/>
              <w:gridCol w:w="3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724" w:type="dxa"/>
                  <w:vAlign w:val="center"/>
                </w:tcPr>
                <w:p>
                  <w:pPr>
                    <w:pStyle w:val="10"/>
                    <w:spacing w:after="0"/>
                    <w:ind w:left="0" w:leftChars="0"/>
                    <w:jc w:val="center"/>
                    <w:rPr>
                      <w:b/>
                      <w:szCs w:val="21"/>
                    </w:rPr>
                  </w:pPr>
                  <w:r>
                    <w:rPr>
                      <w:rFonts w:hint="eastAsia"/>
                      <w:b/>
                      <w:szCs w:val="21"/>
                    </w:rPr>
                    <w:t>类别</w:t>
                  </w:r>
                </w:p>
              </w:tc>
              <w:tc>
                <w:tcPr>
                  <w:tcW w:w="1720" w:type="dxa"/>
                  <w:vAlign w:val="center"/>
                </w:tcPr>
                <w:p>
                  <w:pPr>
                    <w:pStyle w:val="10"/>
                    <w:spacing w:after="0"/>
                    <w:ind w:left="0" w:leftChars="0"/>
                    <w:jc w:val="center"/>
                    <w:rPr>
                      <w:b/>
                      <w:szCs w:val="21"/>
                    </w:rPr>
                  </w:pPr>
                  <w:r>
                    <w:rPr>
                      <w:rFonts w:hint="eastAsia"/>
                      <w:b/>
                      <w:szCs w:val="21"/>
                    </w:rPr>
                    <w:t>单项工程名称</w:t>
                  </w:r>
                </w:p>
              </w:tc>
              <w:tc>
                <w:tcPr>
                  <w:tcW w:w="3756" w:type="dxa"/>
                  <w:vAlign w:val="center"/>
                </w:tcPr>
                <w:p>
                  <w:pPr>
                    <w:pStyle w:val="10"/>
                    <w:spacing w:after="0"/>
                    <w:ind w:left="0" w:leftChars="0"/>
                    <w:jc w:val="center"/>
                    <w:rPr>
                      <w:b/>
                      <w:szCs w:val="21"/>
                    </w:rPr>
                  </w:pPr>
                  <w:r>
                    <w:rPr>
                      <w:rFonts w:hint="eastAsia"/>
                      <w:b/>
                      <w:szCs w:val="21"/>
                    </w:rPr>
                    <w:t>环评内容及规模</w:t>
                  </w:r>
                </w:p>
              </w:tc>
              <w:tc>
                <w:tcPr>
                  <w:tcW w:w="3154" w:type="dxa"/>
                  <w:vAlign w:val="center"/>
                </w:tcPr>
                <w:p>
                  <w:pPr>
                    <w:pStyle w:val="10"/>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pStyle w:val="10"/>
                    <w:ind w:left="0" w:leftChars="0"/>
                    <w:jc w:val="center"/>
                    <w:rPr>
                      <w:bCs/>
                      <w:szCs w:val="21"/>
                    </w:rPr>
                  </w:pPr>
                  <w:r>
                    <w:rPr>
                      <w:rFonts w:hint="eastAsia"/>
                      <w:bCs/>
                      <w:szCs w:val="21"/>
                    </w:rPr>
                    <w:t>主体工程</w:t>
                  </w:r>
                </w:p>
              </w:tc>
              <w:tc>
                <w:tcPr>
                  <w:tcW w:w="1720" w:type="dxa"/>
                  <w:vAlign w:val="center"/>
                </w:tcPr>
                <w:p>
                  <w:pPr>
                    <w:jc w:val="center"/>
                    <w:rPr>
                      <w:bCs/>
                      <w:szCs w:val="21"/>
                    </w:rPr>
                  </w:pPr>
                  <w:r>
                    <w:rPr>
                      <w:rFonts w:hint="eastAsia"/>
                      <w:color w:val="000000"/>
                      <w:szCs w:val="21"/>
                    </w:rPr>
                    <w:t>3</w:t>
                  </w:r>
                  <w:r>
                    <w:rPr>
                      <w:color w:val="000000"/>
                      <w:szCs w:val="21"/>
                    </w:rPr>
                    <w:t>#厂房</w:t>
                  </w:r>
                </w:p>
              </w:tc>
              <w:tc>
                <w:tcPr>
                  <w:tcW w:w="3756" w:type="dxa"/>
                  <w:vAlign w:val="center"/>
                </w:tcPr>
                <w:p>
                  <w:pPr>
                    <w:jc w:val="center"/>
                    <w:rPr>
                      <w:bCs/>
                      <w:szCs w:val="21"/>
                    </w:rPr>
                  </w:pPr>
                  <w:r>
                    <w:rPr>
                      <w:rFonts w:hint="eastAsia"/>
                      <w:color w:val="000000"/>
                      <w:szCs w:val="21"/>
                    </w:rPr>
                    <w:t>1F:</w:t>
                  </w:r>
                  <w:r>
                    <w:rPr>
                      <w:color w:val="000000"/>
                      <w:szCs w:val="21"/>
                    </w:rPr>
                    <w:t>位于</w:t>
                  </w:r>
                  <w:r>
                    <w:rPr>
                      <w:rFonts w:hint="eastAsia"/>
                      <w:color w:val="000000"/>
                      <w:szCs w:val="21"/>
                    </w:rPr>
                    <w:t>项目地</w:t>
                  </w:r>
                  <w:r>
                    <w:rPr>
                      <w:color w:val="000000"/>
                      <w:szCs w:val="21"/>
                    </w:rPr>
                    <w:t>北侧，</w:t>
                  </w:r>
                  <w:r>
                    <w:rPr>
                      <w:rFonts w:hint="eastAsia"/>
                      <w:color w:val="000000"/>
                      <w:szCs w:val="21"/>
                    </w:rPr>
                    <w:t>3</w:t>
                  </w:r>
                  <w:r>
                    <w:rPr>
                      <w:color w:val="000000"/>
                      <w:szCs w:val="21"/>
                    </w:rPr>
                    <w:t>#厂房设置玻璃钢化区、PVB高温高压区，成品区，原料区，磨边区，打孔区，切片区</w:t>
                  </w:r>
                  <w:r>
                    <w:rPr>
                      <w:rFonts w:hint="eastAsia"/>
                      <w:color w:val="000000"/>
                      <w:szCs w:val="21"/>
                    </w:rPr>
                    <w:t>，卸货区，出货区</w:t>
                  </w:r>
                  <w:r>
                    <w:rPr>
                      <w:color w:val="000000"/>
                      <w:szCs w:val="21"/>
                    </w:rPr>
                    <w:t>等。年产</w:t>
                  </w:r>
                  <w:r>
                    <w:rPr>
                      <w:rFonts w:hint="eastAsia"/>
                      <w:color w:val="000000"/>
                      <w:szCs w:val="21"/>
                    </w:rPr>
                    <w:t>节能安全</w:t>
                  </w:r>
                  <w:r>
                    <w:rPr>
                      <w:color w:val="000000"/>
                      <w:szCs w:val="21"/>
                    </w:rPr>
                    <w:t>玻璃</w:t>
                  </w:r>
                  <w:r>
                    <w:rPr>
                      <w:rFonts w:hint="eastAsia"/>
                      <w:color w:val="000000"/>
                      <w:szCs w:val="21"/>
                    </w:rPr>
                    <w:t>153.75</w:t>
                  </w:r>
                  <w:r>
                    <w:rPr>
                      <w:color w:val="000000"/>
                      <w:szCs w:val="21"/>
                    </w:rPr>
                    <w:t>万平方米，主要生产设备为切割机、磨边机、打孔机、高压釜、钢化炉和</w:t>
                  </w:r>
                  <w:r>
                    <w:rPr>
                      <w:rFonts w:hint="eastAsia"/>
                      <w:color w:val="000000"/>
                      <w:szCs w:val="21"/>
                    </w:rPr>
                    <w:t>清洗</w:t>
                  </w:r>
                  <w:r>
                    <w:rPr>
                      <w:color w:val="000000"/>
                      <w:szCs w:val="21"/>
                    </w:rPr>
                    <w:t>机等</w:t>
                  </w:r>
                  <w:r>
                    <w:rPr>
                      <w:rFonts w:hint="eastAsia"/>
                      <w:color w:val="000000"/>
                      <w:szCs w:val="21"/>
                    </w:rPr>
                    <w:t>；建筑面积为19712</w:t>
                  </w:r>
                  <w:r>
                    <w:rPr>
                      <w:bCs/>
                      <w:szCs w:val="21"/>
                    </w:rPr>
                    <w:t>m</w:t>
                  </w:r>
                  <w:r>
                    <w:rPr>
                      <w:bCs/>
                      <w:szCs w:val="21"/>
                      <w:vertAlign w:val="superscript"/>
                    </w:rPr>
                    <w:t>2</w:t>
                  </w:r>
                  <w:r>
                    <w:rPr>
                      <w:rFonts w:hint="eastAsia"/>
                      <w:bCs/>
                      <w:szCs w:val="21"/>
                    </w:rPr>
                    <w:t>。</w:t>
                  </w:r>
                </w:p>
              </w:tc>
              <w:tc>
                <w:tcPr>
                  <w:tcW w:w="3154" w:type="dxa"/>
                </w:tcPr>
                <w:p>
                  <w:pPr>
                    <w:pStyle w:val="12"/>
                    <w:spacing w:after="0"/>
                    <w:ind w:left="0" w:leftChars="0"/>
                    <w:jc w:val="center"/>
                    <w:rPr>
                      <w:bCs/>
                      <w:color w:val="FF0000"/>
                      <w:szCs w:val="21"/>
                    </w:rPr>
                  </w:pPr>
                  <w:r>
                    <w:rPr>
                      <w:rFonts w:hint="eastAsia"/>
                      <w:color w:val="000000"/>
                      <w:szCs w:val="21"/>
                    </w:rPr>
                    <w:t>1F:</w:t>
                  </w:r>
                  <w:r>
                    <w:rPr>
                      <w:color w:val="000000"/>
                      <w:szCs w:val="21"/>
                    </w:rPr>
                    <w:t>位于</w:t>
                  </w:r>
                  <w:r>
                    <w:rPr>
                      <w:rFonts w:hint="eastAsia"/>
                      <w:color w:val="000000"/>
                      <w:szCs w:val="21"/>
                    </w:rPr>
                    <w:t>项目地</w:t>
                  </w:r>
                  <w:r>
                    <w:rPr>
                      <w:color w:val="000000"/>
                      <w:szCs w:val="21"/>
                    </w:rPr>
                    <w:t>北侧，</w:t>
                  </w:r>
                  <w:r>
                    <w:rPr>
                      <w:rFonts w:hint="eastAsia"/>
                      <w:color w:val="000000"/>
                      <w:szCs w:val="21"/>
                    </w:rPr>
                    <w:t>3</w:t>
                  </w:r>
                  <w:r>
                    <w:rPr>
                      <w:color w:val="000000"/>
                      <w:szCs w:val="21"/>
                    </w:rPr>
                    <w:t>#厂房设置玻璃钢化区、PVB高温高压区，成品区，原料区，磨边区，打孔区，切片区</w:t>
                  </w:r>
                  <w:r>
                    <w:rPr>
                      <w:rFonts w:hint="eastAsia"/>
                      <w:color w:val="000000"/>
                      <w:szCs w:val="21"/>
                    </w:rPr>
                    <w:t>，卸货区，出货区</w:t>
                  </w:r>
                  <w:r>
                    <w:rPr>
                      <w:color w:val="000000"/>
                      <w:szCs w:val="21"/>
                    </w:rPr>
                    <w:t>等。年产</w:t>
                  </w:r>
                  <w:r>
                    <w:rPr>
                      <w:rFonts w:hint="eastAsia"/>
                      <w:color w:val="000000"/>
                      <w:szCs w:val="21"/>
                    </w:rPr>
                    <w:t>节能安全</w:t>
                  </w:r>
                  <w:r>
                    <w:rPr>
                      <w:color w:val="000000"/>
                      <w:szCs w:val="21"/>
                    </w:rPr>
                    <w:t>玻璃</w:t>
                  </w:r>
                  <w:r>
                    <w:rPr>
                      <w:rFonts w:hint="eastAsia"/>
                      <w:color w:val="000000"/>
                      <w:szCs w:val="21"/>
                    </w:rPr>
                    <w:t>153.75</w:t>
                  </w:r>
                  <w:r>
                    <w:rPr>
                      <w:color w:val="000000"/>
                      <w:szCs w:val="21"/>
                    </w:rPr>
                    <w:t>万平方米，主要生产设备为切割机、磨边机、打孔机、高压釜、钢化炉和</w:t>
                  </w:r>
                  <w:r>
                    <w:rPr>
                      <w:rFonts w:hint="eastAsia"/>
                      <w:color w:val="000000"/>
                      <w:szCs w:val="21"/>
                    </w:rPr>
                    <w:t>清洗</w:t>
                  </w:r>
                  <w:r>
                    <w:rPr>
                      <w:color w:val="000000"/>
                      <w:szCs w:val="21"/>
                    </w:rPr>
                    <w:t>机等</w:t>
                  </w:r>
                  <w:r>
                    <w:rPr>
                      <w:rFonts w:hint="eastAsia"/>
                      <w:color w:val="000000"/>
                      <w:szCs w:val="21"/>
                    </w:rPr>
                    <w:t>；建筑面积为19712</w:t>
                  </w:r>
                  <w:r>
                    <w:rPr>
                      <w:bCs/>
                      <w:szCs w:val="21"/>
                    </w:rPr>
                    <w:t>m</w:t>
                  </w:r>
                  <w:r>
                    <w:rPr>
                      <w:bCs/>
                      <w:szCs w:val="21"/>
                      <w:vertAlign w:val="superscript"/>
                    </w:rPr>
                    <w:t>2</w:t>
                  </w:r>
                  <w:r>
                    <w:rPr>
                      <w:rFonts w:hint="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pPr>
                </w:p>
              </w:tc>
              <w:tc>
                <w:tcPr>
                  <w:tcW w:w="1720" w:type="dxa"/>
                  <w:vAlign w:val="center"/>
                </w:tcPr>
                <w:p>
                  <w:pPr>
                    <w:jc w:val="center"/>
                    <w:rPr>
                      <w:bCs/>
                      <w:szCs w:val="21"/>
                    </w:rPr>
                  </w:pPr>
                  <w:r>
                    <w:rPr>
                      <w:color w:val="000000"/>
                      <w:szCs w:val="21"/>
                    </w:rPr>
                    <w:t>2#厂房</w:t>
                  </w:r>
                </w:p>
              </w:tc>
              <w:tc>
                <w:tcPr>
                  <w:tcW w:w="3756" w:type="dxa"/>
                  <w:vAlign w:val="center"/>
                </w:tcPr>
                <w:p>
                  <w:pPr>
                    <w:jc w:val="center"/>
                    <w:rPr>
                      <w:bCs/>
                    </w:rPr>
                  </w:pPr>
                  <w:r>
                    <w:rPr>
                      <w:rFonts w:hint="eastAsia"/>
                      <w:color w:val="000000"/>
                      <w:szCs w:val="21"/>
                    </w:rPr>
                    <w:t>位于项目区的东南侧，总共为四层，均作为备用厂房，建筑面积为1102.5</w:t>
                  </w:r>
                  <w:r>
                    <w:rPr>
                      <w:bCs/>
                      <w:szCs w:val="21"/>
                    </w:rPr>
                    <w:t>m</w:t>
                  </w:r>
                  <w:r>
                    <w:rPr>
                      <w:bCs/>
                      <w:szCs w:val="21"/>
                      <w:vertAlign w:val="superscript"/>
                    </w:rPr>
                    <w:t>2</w:t>
                  </w:r>
                  <w:r>
                    <w:rPr>
                      <w:rFonts w:hint="eastAsia"/>
                      <w:bCs/>
                      <w:szCs w:val="21"/>
                    </w:rPr>
                    <w:t>。</w:t>
                  </w:r>
                </w:p>
              </w:tc>
              <w:tc>
                <w:tcPr>
                  <w:tcW w:w="3154" w:type="dxa"/>
                </w:tcPr>
                <w:p>
                  <w:pPr>
                    <w:pStyle w:val="12"/>
                    <w:spacing w:after="0"/>
                    <w:ind w:left="0" w:leftChars="0"/>
                    <w:jc w:val="center"/>
                    <w:rPr>
                      <w:bCs/>
                      <w:color w:val="FF0000"/>
                      <w:szCs w:val="21"/>
                    </w:rPr>
                  </w:pPr>
                  <w:r>
                    <w:rPr>
                      <w:rFonts w:hint="eastAsia"/>
                      <w:color w:val="000000"/>
                      <w:szCs w:val="21"/>
                    </w:rPr>
                    <w:t>位于项目区的东南侧，总共为四层，均作为备用厂房，建筑面积为1102.5</w:t>
                  </w:r>
                  <w:r>
                    <w:rPr>
                      <w:bCs/>
                      <w:szCs w:val="21"/>
                    </w:rPr>
                    <w:t>m</w:t>
                  </w:r>
                  <w:r>
                    <w:rPr>
                      <w:bCs/>
                      <w:szCs w:val="21"/>
                      <w:vertAlign w:val="superscript"/>
                    </w:rPr>
                    <w:t>2</w:t>
                  </w:r>
                  <w:r>
                    <w:rPr>
                      <w:rFonts w:hint="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bCs/>
                      <w:szCs w:val="21"/>
                    </w:rPr>
                  </w:pPr>
                </w:p>
              </w:tc>
              <w:tc>
                <w:tcPr>
                  <w:tcW w:w="1720" w:type="dxa"/>
                  <w:vAlign w:val="center"/>
                </w:tcPr>
                <w:p>
                  <w:pPr>
                    <w:jc w:val="center"/>
                    <w:rPr>
                      <w:bCs/>
                      <w:szCs w:val="21"/>
                    </w:rPr>
                  </w:pPr>
                  <w:r>
                    <w:rPr>
                      <w:rFonts w:hint="eastAsia"/>
                      <w:color w:val="000000"/>
                      <w:szCs w:val="21"/>
                    </w:rPr>
                    <w:t>1</w:t>
                  </w:r>
                  <w:r>
                    <w:rPr>
                      <w:color w:val="000000"/>
                      <w:szCs w:val="21"/>
                    </w:rPr>
                    <w:t>#厂房</w:t>
                  </w:r>
                </w:p>
              </w:tc>
              <w:tc>
                <w:tcPr>
                  <w:tcW w:w="3756" w:type="dxa"/>
                  <w:vAlign w:val="center"/>
                </w:tcPr>
                <w:p>
                  <w:pPr>
                    <w:jc w:val="center"/>
                    <w:rPr>
                      <w:bCs/>
                    </w:rPr>
                  </w:pPr>
                  <w:r>
                    <w:rPr>
                      <w:color w:val="000000"/>
                      <w:szCs w:val="21"/>
                    </w:rPr>
                    <w:t>位于厂区</w:t>
                  </w:r>
                  <w:r>
                    <w:rPr>
                      <w:rFonts w:hint="eastAsia"/>
                      <w:color w:val="000000"/>
                      <w:szCs w:val="21"/>
                    </w:rPr>
                    <w:t>西南</w:t>
                  </w:r>
                  <w:r>
                    <w:rPr>
                      <w:color w:val="000000"/>
                      <w:szCs w:val="21"/>
                    </w:rPr>
                    <w:t>侧，</w:t>
                  </w:r>
                  <w:r>
                    <w:rPr>
                      <w:rFonts w:hint="eastAsia"/>
                      <w:color w:val="000000"/>
                      <w:szCs w:val="21"/>
                    </w:rPr>
                    <w:t>总共为五楼，一楼作为库房</w:t>
                  </w:r>
                  <w:r>
                    <w:rPr>
                      <w:rFonts w:hint="eastAsia"/>
                      <w:szCs w:val="21"/>
                    </w:rPr>
                    <w:t>，二楼、三楼、四楼为中空百叶玻璃组装车间，五楼为餐厅，建筑面积为</w:t>
                  </w:r>
                  <w:r>
                    <w:rPr>
                      <w:rFonts w:hint="eastAsia"/>
                      <w:color w:val="000000"/>
                      <w:szCs w:val="21"/>
                    </w:rPr>
                    <w:t>1102.5</w:t>
                  </w:r>
                  <w:r>
                    <w:rPr>
                      <w:color w:val="000000"/>
                      <w:szCs w:val="21"/>
                    </w:rPr>
                    <w:t>m</w:t>
                  </w:r>
                  <w:r>
                    <w:rPr>
                      <w:color w:val="000000"/>
                      <w:szCs w:val="21"/>
                      <w:vertAlign w:val="superscript"/>
                    </w:rPr>
                    <w:t>2</w:t>
                  </w:r>
                  <w:r>
                    <w:rPr>
                      <w:rFonts w:hint="eastAsia"/>
                      <w:color w:val="000000"/>
                      <w:szCs w:val="21"/>
                    </w:rPr>
                    <w:t>。</w:t>
                  </w:r>
                </w:p>
              </w:tc>
              <w:tc>
                <w:tcPr>
                  <w:tcW w:w="3154" w:type="dxa"/>
                  <w:vAlign w:val="center"/>
                </w:tcPr>
                <w:p>
                  <w:pPr>
                    <w:jc w:val="center"/>
                    <w:rPr>
                      <w:bCs/>
                      <w:color w:val="FF0000"/>
                      <w:szCs w:val="21"/>
                    </w:rPr>
                  </w:pPr>
                  <w:r>
                    <w:rPr>
                      <w:color w:val="000000"/>
                      <w:szCs w:val="21"/>
                    </w:rPr>
                    <w:t>位于厂区</w:t>
                  </w:r>
                  <w:r>
                    <w:rPr>
                      <w:rFonts w:hint="eastAsia"/>
                      <w:color w:val="000000"/>
                      <w:szCs w:val="21"/>
                    </w:rPr>
                    <w:t>西南</w:t>
                  </w:r>
                  <w:r>
                    <w:rPr>
                      <w:color w:val="000000"/>
                      <w:szCs w:val="21"/>
                    </w:rPr>
                    <w:t>侧，</w:t>
                  </w:r>
                  <w:r>
                    <w:rPr>
                      <w:rFonts w:hint="eastAsia"/>
                      <w:color w:val="000000"/>
                      <w:szCs w:val="21"/>
                    </w:rPr>
                    <w:t>总共为五楼，一楼作为库房</w:t>
                  </w:r>
                  <w:r>
                    <w:rPr>
                      <w:rFonts w:hint="eastAsia"/>
                      <w:szCs w:val="21"/>
                    </w:rPr>
                    <w:t>，二楼、三楼、四楼为中空百叶玻璃组装车间，五楼为餐厅，建筑面积为</w:t>
                  </w:r>
                  <w:r>
                    <w:rPr>
                      <w:rFonts w:hint="eastAsia"/>
                      <w:color w:val="000000"/>
                      <w:szCs w:val="21"/>
                    </w:rPr>
                    <w:t>1102.5</w:t>
                  </w:r>
                  <w:r>
                    <w:rPr>
                      <w:color w:val="000000"/>
                      <w:szCs w:val="21"/>
                    </w:rPr>
                    <w:t>m</w:t>
                  </w:r>
                  <w:r>
                    <w:rPr>
                      <w:color w:val="000000"/>
                      <w:szCs w:val="21"/>
                      <w:vertAlign w:val="superscript"/>
                    </w:rPr>
                    <w:t>2</w:t>
                  </w: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jc w:val="center"/>
                    <w:rPr>
                      <w:bCs/>
                      <w:szCs w:val="21"/>
                    </w:rPr>
                  </w:pPr>
                  <w:r>
                    <w:rPr>
                      <w:rFonts w:hint="eastAsia"/>
                      <w:bCs/>
                      <w:szCs w:val="21"/>
                    </w:rPr>
                    <w:t>辅助工程</w:t>
                  </w:r>
                </w:p>
              </w:tc>
              <w:tc>
                <w:tcPr>
                  <w:tcW w:w="1720" w:type="dxa"/>
                  <w:vAlign w:val="center"/>
                </w:tcPr>
                <w:p>
                  <w:pPr>
                    <w:jc w:val="center"/>
                    <w:rPr>
                      <w:bCs/>
                      <w:szCs w:val="21"/>
                    </w:rPr>
                  </w:pPr>
                  <w:r>
                    <w:rPr>
                      <w:rFonts w:hint="eastAsia"/>
                      <w:color w:val="000000"/>
                      <w:szCs w:val="21"/>
                    </w:rPr>
                    <w:t>职工食堂</w:t>
                  </w:r>
                </w:p>
              </w:tc>
              <w:tc>
                <w:tcPr>
                  <w:tcW w:w="3756" w:type="dxa"/>
                  <w:vAlign w:val="center"/>
                </w:tcPr>
                <w:p>
                  <w:pPr>
                    <w:jc w:val="center"/>
                    <w:rPr>
                      <w:bCs/>
                      <w:szCs w:val="21"/>
                    </w:rPr>
                  </w:pPr>
                  <w:r>
                    <w:rPr>
                      <w:color w:val="000000"/>
                      <w:szCs w:val="21"/>
                    </w:rPr>
                    <w:t>位于</w:t>
                  </w:r>
                  <w:r>
                    <w:rPr>
                      <w:rFonts w:hint="eastAsia"/>
                      <w:color w:val="000000"/>
                      <w:szCs w:val="21"/>
                    </w:rPr>
                    <w:t>1</w:t>
                  </w:r>
                  <w:r>
                    <w:rPr>
                      <w:color w:val="000000"/>
                      <w:szCs w:val="21"/>
                    </w:rPr>
                    <w:t>#厂房</w:t>
                  </w:r>
                  <w:r>
                    <w:rPr>
                      <w:rFonts w:hint="eastAsia"/>
                      <w:color w:val="000000"/>
                      <w:szCs w:val="21"/>
                    </w:rPr>
                    <w:t>五楼</w:t>
                  </w:r>
                  <w:r>
                    <w:rPr>
                      <w:color w:val="000000"/>
                      <w:szCs w:val="21"/>
                    </w:rPr>
                    <w:t>，</w:t>
                  </w:r>
                  <w:r>
                    <w:rPr>
                      <w:bCs/>
                      <w:color w:val="000000"/>
                      <w:szCs w:val="21"/>
                    </w:rPr>
                    <w:t>就餐人数</w:t>
                  </w:r>
                  <w:r>
                    <w:rPr>
                      <w:rFonts w:hint="eastAsia"/>
                      <w:bCs/>
                      <w:color w:val="000000"/>
                      <w:szCs w:val="21"/>
                    </w:rPr>
                    <w:t>70</w:t>
                  </w:r>
                  <w:r>
                    <w:rPr>
                      <w:bCs/>
                      <w:color w:val="000000"/>
                      <w:szCs w:val="21"/>
                    </w:rPr>
                    <w:t>人</w:t>
                  </w:r>
                  <w:r>
                    <w:rPr>
                      <w:rFonts w:hint="eastAsia"/>
                      <w:bCs/>
                      <w:color w:val="000000"/>
                      <w:szCs w:val="21"/>
                    </w:rPr>
                    <w:t>，建筑面积为660</w:t>
                  </w:r>
                  <w:r>
                    <w:rPr>
                      <w:color w:val="000000"/>
                      <w:szCs w:val="21"/>
                    </w:rPr>
                    <w:t>m</w:t>
                  </w:r>
                  <w:r>
                    <w:rPr>
                      <w:color w:val="000000"/>
                      <w:szCs w:val="21"/>
                      <w:vertAlign w:val="superscript"/>
                    </w:rPr>
                    <w:t>2</w:t>
                  </w:r>
                  <w:r>
                    <w:rPr>
                      <w:rFonts w:hint="eastAsia"/>
                      <w:color w:val="000000"/>
                      <w:szCs w:val="21"/>
                    </w:rPr>
                    <w:t>。</w:t>
                  </w:r>
                </w:p>
              </w:tc>
              <w:tc>
                <w:tcPr>
                  <w:tcW w:w="3154" w:type="dxa"/>
                  <w:vAlign w:val="center"/>
                </w:tcPr>
                <w:p>
                  <w:pPr>
                    <w:jc w:val="center"/>
                    <w:rPr>
                      <w:bCs/>
                      <w:color w:val="FF0000"/>
                      <w:szCs w:val="21"/>
                    </w:rPr>
                  </w:pPr>
                  <w:r>
                    <w:rPr>
                      <w:color w:val="000000"/>
                      <w:szCs w:val="21"/>
                    </w:rPr>
                    <w:t>位于</w:t>
                  </w:r>
                  <w:r>
                    <w:rPr>
                      <w:rFonts w:hint="eastAsia"/>
                      <w:color w:val="000000"/>
                      <w:szCs w:val="21"/>
                    </w:rPr>
                    <w:t>1</w:t>
                  </w:r>
                  <w:r>
                    <w:rPr>
                      <w:color w:val="000000"/>
                      <w:szCs w:val="21"/>
                    </w:rPr>
                    <w:t>#厂房</w:t>
                  </w:r>
                  <w:r>
                    <w:rPr>
                      <w:rFonts w:hint="eastAsia"/>
                      <w:color w:val="000000"/>
                      <w:szCs w:val="21"/>
                    </w:rPr>
                    <w:t>五楼</w:t>
                  </w:r>
                  <w:r>
                    <w:rPr>
                      <w:color w:val="000000"/>
                      <w:szCs w:val="21"/>
                    </w:rPr>
                    <w:t>，</w:t>
                  </w:r>
                  <w:r>
                    <w:rPr>
                      <w:bCs/>
                      <w:color w:val="000000"/>
                      <w:szCs w:val="21"/>
                    </w:rPr>
                    <w:t>就餐人数</w:t>
                  </w:r>
                  <w:r>
                    <w:rPr>
                      <w:rFonts w:hint="eastAsia"/>
                      <w:bCs/>
                      <w:color w:val="000000"/>
                      <w:szCs w:val="21"/>
                    </w:rPr>
                    <w:t>70</w:t>
                  </w:r>
                  <w:r>
                    <w:rPr>
                      <w:bCs/>
                      <w:color w:val="000000"/>
                      <w:szCs w:val="21"/>
                    </w:rPr>
                    <w:t>人</w:t>
                  </w:r>
                  <w:r>
                    <w:rPr>
                      <w:rFonts w:hint="eastAsia"/>
                      <w:bCs/>
                      <w:color w:val="000000"/>
                      <w:szCs w:val="21"/>
                    </w:rPr>
                    <w:t>，建筑面积为660</w:t>
                  </w:r>
                  <w:r>
                    <w:rPr>
                      <w:color w:val="000000"/>
                      <w:szCs w:val="21"/>
                    </w:rPr>
                    <w:t>m</w:t>
                  </w:r>
                  <w:r>
                    <w:rPr>
                      <w:color w:val="000000"/>
                      <w:szCs w:val="21"/>
                      <w:vertAlign w:val="superscript"/>
                    </w:rPr>
                    <w:t>2</w:t>
                  </w: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bCs/>
                      <w:szCs w:val="21"/>
                    </w:rPr>
                  </w:pPr>
                </w:p>
              </w:tc>
              <w:tc>
                <w:tcPr>
                  <w:tcW w:w="1720" w:type="dxa"/>
                  <w:vAlign w:val="center"/>
                </w:tcPr>
                <w:p>
                  <w:pPr>
                    <w:jc w:val="center"/>
                    <w:rPr>
                      <w:bCs/>
                      <w:szCs w:val="21"/>
                    </w:rPr>
                  </w:pPr>
                  <w:r>
                    <w:rPr>
                      <w:color w:val="000000"/>
                      <w:szCs w:val="21"/>
                    </w:rPr>
                    <w:t>成品区</w:t>
                  </w:r>
                </w:p>
              </w:tc>
              <w:tc>
                <w:tcPr>
                  <w:tcW w:w="3756" w:type="dxa"/>
                  <w:vAlign w:val="center"/>
                </w:tcPr>
                <w:p>
                  <w:pPr>
                    <w:jc w:val="center"/>
                    <w:rPr>
                      <w:bCs/>
                      <w:szCs w:val="21"/>
                    </w:rPr>
                  </w:pPr>
                  <w:r>
                    <w:rPr>
                      <w:color w:val="000000"/>
                      <w:szCs w:val="21"/>
                    </w:rPr>
                    <w:t>位于</w:t>
                  </w:r>
                  <w:r>
                    <w:rPr>
                      <w:rFonts w:hint="eastAsia"/>
                      <w:color w:val="000000"/>
                      <w:szCs w:val="21"/>
                    </w:rPr>
                    <w:t>3</w:t>
                  </w:r>
                  <w:r>
                    <w:rPr>
                      <w:color w:val="000000"/>
                      <w:szCs w:val="21"/>
                    </w:rPr>
                    <w:t>#厂房</w:t>
                  </w:r>
                  <w:r>
                    <w:rPr>
                      <w:rFonts w:hint="eastAsia"/>
                      <w:color w:val="000000"/>
                      <w:szCs w:val="21"/>
                    </w:rPr>
                    <w:t>东南</w:t>
                  </w:r>
                  <w:r>
                    <w:rPr>
                      <w:color w:val="000000"/>
                      <w:szCs w:val="21"/>
                    </w:rPr>
                    <w:t>侧，主要用于产品的存放</w:t>
                  </w:r>
                  <w:r>
                    <w:rPr>
                      <w:rFonts w:hint="eastAsia"/>
                      <w:color w:val="000000"/>
                      <w:szCs w:val="21"/>
                    </w:rPr>
                    <w:t>，建筑面积为2730</w:t>
                  </w:r>
                  <w:r>
                    <w:rPr>
                      <w:color w:val="000000"/>
                      <w:szCs w:val="21"/>
                    </w:rPr>
                    <w:t>m</w:t>
                  </w:r>
                  <w:r>
                    <w:rPr>
                      <w:color w:val="000000"/>
                      <w:szCs w:val="21"/>
                      <w:vertAlign w:val="superscript"/>
                    </w:rPr>
                    <w:t>2</w:t>
                  </w:r>
                  <w:r>
                    <w:rPr>
                      <w:rFonts w:hint="eastAsia"/>
                      <w:color w:val="000000"/>
                      <w:szCs w:val="21"/>
                    </w:rPr>
                    <w:t>。</w:t>
                  </w:r>
                </w:p>
              </w:tc>
              <w:tc>
                <w:tcPr>
                  <w:tcW w:w="3154" w:type="dxa"/>
                  <w:vAlign w:val="center"/>
                </w:tcPr>
                <w:p>
                  <w:pPr>
                    <w:jc w:val="center"/>
                    <w:rPr>
                      <w:bCs/>
                      <w:color w:val="FF0000"/>
                      <w:szCs w:val="21"/>
                    </w:rPr>
                  </w:pPr>
                  <w:r>
                    <w:rPr>
                      <w:color w:val="000000"/>
                      <w:szCs w:val="21"/>
                    </w:rPr>
                    <w:t>位于</w:t>
                  </w:r>
                  <w:r>
                    <w:rPr>
                      <w:rFonts w:hint="eastAsia"/>
                      <w:color w:val="000000"/>
                      <w:szCs w:val="21"/>
                    </w:rPr>
                    <w:t>3</w:t>
                  </w:r>
                  <w:r>
                    <w:rPr>
                      <w:color w:val="000000"/>
                      <w:szCs w:val="21"/>
                    </w:rPr>
                    <w:t>#厂房</w:t>
                  </w:r>
                  <w:r>
                    <w:rPr>
                      <w:rFonts w:hint="eastAsia"/>
                      <w:color w:val="000000"/>
                      <w:szCs w:val="21"/>
                    </w:rPr>
                    <w:t>东南</w:t>
                  </w:r>
                  <w:r>
                    <w:rPr>
                      <w:color w:val="000000"/>
                      <w:szCs w:val="21"/>
                    </w:rPr>
                    <w:t>侧，主要用于产品的存放</w:t>
                  </w:r>
                  <w:r>
                    <w:rPr>
                      <w:rFonts w:hint="eastAsia"/>
                      <w:color w:val="000000"/>
                      <w:szCs w:val="21"/>
                    </w:rPr>
                    <w:t>，建筑面积为2730</w:t>
                  </w:r>
                  <w:r>
                    <w:rPr>
                      <w:color w:val="000000"/>
                      <w:szCs w:val="21"/>
                    </w:rPr>
                    <w:t>m</w:t>
                  </w:r>
                  <w:r>
                    <w:rPr>
                      <w:color w:val="000000"/>
                      <w:szCs w:val="21"/>
                      <w:vertAlign w:val="superscript"/>
                    </w:rPr>
                    <w:t>2</w:t>
                  </w: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2" w:hRule="atLeast"/>
                <w:jc w:val="center"/>
              </w:trPr>
              <w:tc>
                <w:tcPr>
                  <w:tcW w:w="724" w:type="dxa"/>
                  <w:vMerge w:val="continue"/>
                  <w:vAlign w:val="center"/>
                </w:tcPr>
                <w:p>
                  <w:pPr>
                    <w:jc w:val="center"/>
                    <w:rPr>
                      <w:bCs/>
                      <w:szCs w:val="21"/>
                    </w:rPr>
                  </w:pPr>
                </w:p>
              </w:tc>
              <w:tc>
                <w:tcPr>
                  <w:tcW w:w="1720" w:type="dxa"/>
                  <w:vAlign w:val="center"/>
                </w:tcPr>
                <w:p>
                  <w:pPr>
                    <w:jc w:val="center"/>
                    <w:rPr>
                      <w:bCs/>
                      <w:szCs w:val="21"/>
                    </w:rPr>
                  </w:pPr>
                  <w:r>
                    <w:rPr>
                      <w:color w:val="000000"/>
                      <w:szCs w:val="21"/>
                    </w:rPr>
                    <w:t>原料区</w:t>
                  </w:r>
                </w:p>
              </w:tc>
              <w:tc>
                <w:tcPr>
                  <w:tcW w:w="3756" w:type="dxa"/>
                  <w:vAlign w:val="center"/>
                </w:tcPr>
                <w:p>
                  <w:pPr>
                    <w:jc w:val="center"/>
                    <w:rPr>
                      <w:bCs/>
                      <w:szCs w:val="21"/>
                    </w:rPr>
                  </w:pPr>
                  <w:r>
                    <w:rPr>
                      <w:color w:val="000000"/>
                      <w:szCs w:val="21"/>
                    </w:rPr>
                    <w:t>位于</w:t>
                  </w:r>
                  <w:r>
                    <w:rPr>
                      <w:rFonts w:hint="eastAsia"/>
                      <w:color w:val="000000"/>
                      <w:szCs w:val="21"/>
                    </w:rPr>
                    <w:t>3</w:t>
                  </w:r>
                  <w:r>
                    <w:rPr>
                      <w:color w:val="000000"/>
                      <w:szCs w:val="21"/>
                    </w:rPr>
                    <w:t>#厂房南侧，主要用于原材料的存放</w:t>
                  </w:r>
                  <w:r>
                    <w:rPr>
                      <w:rFonts w:hint="eastAsia"/>
                      <w:color w:val="000000"/>
                      <w:szCs w:val="21"/>
                    </w:rPr>
                    <w:t>，建筑面积为1837.5</w:t>
                  </w:r>
                  <w:r>
                    <w:rPr>
                      <w:color w:val="000000"/>
                      <w:szCs w:val="21"/>
                    </w:rPr>
                    <w:t>m</w:t>
                  </w:r>
                  <w:r>
                    <w:rPr>
                      <w:color w:val="000000"/>
                      <w:szCs w:val="21"/>
                      <w:vertAlign w:val="superscript"/>
                    </w:rPr>
                    <w:t>2</w:t>
                  </w:r>
                  <w:r>
                    <w:rPr>
                      <w:rFonts w:hint="eastAsia"/>
                      <w:color w:val="000000"/>
                      <w:szCs w:val="21"/>
                    </w:rPr>
                    <w:t>。</w:t>
                  </w:r>
                </w:p>
              </w:tc>
              <w:tc>
                <w:tcPr>
                  <w:tcW w:w="3154" w:type="dxa"/>
                  <w:vAlign w:val="center"/>
                </w:tcPr>
                <w:p>
                  <w:pPr>
                    <w:jc w:val="center"/>
                    <w:rPr>
                      <w:bCs/>
                      <w:color w:val="FF0000"/>
                      <w:szCs w:val="21"/>
                    </w:rPr>
                  </w:pPr>
                  <w:r>
                    <w:rPr>
                      <w:color w:val="000000"/>
                      <w:szCs w:val="21"/>
                    </w:rPr>
                    <w:t>位于</w:t>
                  </w:r>
                  <w:r>
                    <w:rPr>
                      <w:rFonts w:hint="eastAsia"/>
                      <w:color w:val="000000"/>
                      <w:szCs w:val="21"/>
                    </w:rPr>
                    <w:t>3</w:t>
                  </w:r>
                  <w:r>
                    <w:rPr>
                      <w:color w:val="000000"/>
                      <w:szCs w:val="21"/>
                    </w:rPr>
                    <w:t>#厂房南侧，主要用于原材料的存放</w:t>
                  </w:r>
                  <w:r>
                    <w:rPr>
                      <w:rFonts w:hint="eastAsia"/>
                      <w:color w:val="000000"/>
                      <w:szCs w:val="21"/>
                    </w:rPr>
                    <w:t>，建筑面积为1837.5</w:t>
                  </w:r>
                  <w:r>
                    <w:rPr>
                      <w:color w:val="000000"/>
                      <w:szCs w:val="21"/>
                    </w:rPr>
                    <w:t>m</w:t>
                  </w:r>
                  <w:r>
                    <w:rPr>
                      <w:color w:val="000000"/>
                      <w:szCs w:val="21"/>
                      <w:vertAlign w:val="superscript"/>
                    </w:rPr>
                    <w:t>2</w:t>
                  </w: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8" w:hRule="atLeast"/>
                <w:jc w:val="center"/>
              </w:trPr>
              <w:tc>
                <w:tcPr>
                  <w:tcW w:w="724" w:type="dxa"/>
                  <w:vMerge w:val="restart"/>
                  <w:vAlign w:val="center"/>
                </w:tcPr>
                <w:p>
                  <w:pPr>
                    <w:pStyle w:val="10"/>
                    <w:ind w:left="0" w:leftChars="0"/>
                    <w:jc w:val="center"/>
                    <w:rPr>
                      <w:bCs/>
                      <w:szCs w:val="21"/>
                    </w:rPr>
                  </w:pPr>
                  <w:r>
                    <w:rPr>
                      <w:rFonts w:hint="eastAsia"/>
                      <w:bCs/>
                      <w:szCs w:val="21"/>
                    </w:rPr>
                    <w:t>公用工程</w:t>
                  </w:r>
                </w:p>
              </w:tc>
              <w:tc>
                <w:tcPr>
                  <w:tcW w:w="1720" w:type="dxa"/>
                  <w:vAlign w:val="center"/>
                </w:tcPr>
                <w:p>
                  <w:pPr>
                    <w:adjustRightInd w:val="0"/>
                    <w:snapToGrid w:val="0"/>
                    <w:jc w:val="center"/>
                    <w:rPr>
                      <w:bCs/>
                      <w:szCs w:val="21"/>
                    </w:rPr>
                  </w:pPr>
                  <w:r>
                    <w:rPr>
                      <w:bCs/>
                      <w:szCs w:val="21"/>
                    </w:rPr>
                    <w:t>给水</w:t>
                  </w:r>
                </w:p>
              </w:tc>
              <w:tc>
                <w:tcPr>
                  <w:tcW w:w="3756" w:type="dxa"/>
                  <w:vAlign w:val="center"/>
                </w:tcPr>
                <w:p>
                  <w:pPr>
                    <w:pStyle w:val="12"/>
                    <w:spacing w:after="0"/>
                    <w:ind w:left="0" w:leftChars="0"/>
                    <w:jc w:val="center"/>
                    <w:rPr>
                      <w:bCs/>
                      <w:szCs w:val="21"/>
                    </w:rPr>
                  </w:pPr>
                  <w:r>
                    <w:rPr>
                      <w:color w:val="000000"/>
                      <w:szCs w:val="21"/>
                    </w:rPr>
                    <w:t>由市政供水管网提供，年用水量为</w:t>
                  </w:r>
                  <w:r>
                    <w:rPr>
                      <w:rFonts w:hint="eastAsia"/>
                      <w:szCs w:val="21"/>
                    </w:rPr>
                    <w:t>2311</w:t>
                  </w:r>
                  <w:r>
                    <w:rPr>
                      <w:szCs w:val="21"/>
                    </w:rPr>
                    <w:t>t</w:t>
                  </w:r>
                  <w:r>
                    <w:rPr>
                      <w:color w:val="000000"/>
                      <w:szCs w:val="21"/>
                    </w:rPr>
                    <w:t>/a</w:t>
                  </w:r>
                  <w:r>
                    <w:rPr>
                      <w:rFonts w:hint="eastAsia"/>
                      <w:color w:val="000000"/>
                      <w:szCs w:val="21"/>
                    </w:rPr>
                    <w:t>，依托园区雨污管网。</w:t>
                  </w:r>
                </w:p>
              </w:tc>
              <w:tc>
                <w:tcPr>
                  <w:tcW w:w="3154" w:type="dxa"/>
                  <w:vAlign w:val="center"/>
                </w:tcPr>
                <w:p>
                  <w:pPr>
                    <w:pStyle w:val="12"/>
                    <w:spacing w:after="0"/>
                    <w:ind w:left="0" w:leftChars="0"/>
                    <w:jc w:val="center"/>
                    <w:rPr>
                      <w:bCs/>
                      <w:szCs w:val="21"/>
                    </w:rPr>
                  </w:pPr>
                  <w:r>
                    <w:rPr>
                      <w:color w:val="000000"/>
                      <w:szCs w:val="21"/>
                    </w:rPr>
                    <w:t>由市政供水管网提供，年用水量为</w:t>
                  </w:r>
                  <w:r>
                    <w:rPr>
                      <w:rFonts w:hint="eastAsia"/>
                      <w:szCs w:val="21"/>
                    </w:rPr>
                    <w:t>2311</w:t>
                  </w:r>
                  <w:r>
                    <w:rPr>
                      <w:szCs w:val="21"/>
                    </w:rPr>
                    <w:t>t</w:t>
                  </w:r>
                  <w:r>
                    <w:rPr>
                      <w:color w:val="000000"/>
                      <w:szCs w:val="21"/>
                    </w:rPr>
                    <w:t>/a</w:t>
                  </w:r>
                  <w:r>
                    <w:rPr>
                      <w:rFonts w:hint="eastAsia"/>
                      <w:color w:val="000000"/>
                      <w:szCs w:val="21"/>
                    </w:rPr>
                    <w:t>，依托园区雨污管网。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adjustRightInd w:val="0"/>
                    <w:snapToGrid w:val="0"/>
                    <w:jc w:val="center"/>
                    <w:rPr>
                      <w:bCs/>
                      <w:szCs w:val="21"/>
                    </w:rPr>
                  </w:pPr>
                  <w:r>
                    <w:rPr>
                      <w:bCs/>
                      <w:szCs w:val="21"/>
                    </w:rPr>
                    <w:t>排水</w:t>
                  </w:r>
                </w:p>
              </w:tc>
              <w:tc>
                <w:tcPr>
                  <w:tcW w:w="3756" w:type="dxa"/>
                  <w:vAlign w:val="center"/>
                </w:tcPr>
                <w:p>
                  <w:pPr>
                    <w:pStyle w:val="12"/>
                    <w:spacing w:after="0"/>
                    <w:ind w:left="0" w:leftChars="0" w:firstLine="0" w:firstLineChars="0"/>
                    <w:rPr>
                      <w:bCs/>
                      <w:szCs w:val="21"/>
                    </w:rPr>
                  </w:pPr>
                  <w:r>
                    <w:rPr>
                      <w:color w:val="000000"/>
                      <w:szCs w:val="21"/>
                    </w:rPr>
                    <w:t>磨边废水循环使用，不外排；清洗废水经沉淀后回用于生产，不外排；生活污水</w:t>
                  </w:r>
                  <w:r>
                    <w:rPr>
                      <w:rFonts w:hint="eastAsia"/>
                      <w:color w:val="000000"/>
                      <w:szCs w:val="21"/>
                    </w:rPr>
                    <w:t>、食堂废水</w:t>
                  </w:r>
                  <w:r>
                    <w:rPr>
                      <w:color w:val="000000"/>
                      <w:szCs w:val="21"/>
                    </w:rPr>
                    <w:t>经</w:t>
                  </w:r>
                  <w:r>
                    <w:rPr>
                      <w:rFonts w:hint="eastAsia"/>
                      <w:color w:val="000000"/>
                      <w:szCs w:val="21"/>
                    </w:rPr>
                    <w:t>隔油池、</w:t>
                  </w:r>
                  <w:r>
                    <w:rPr>
                      <w:color w:val="000000"/>
                      <w:szCs w:val="21"/>
                    </w:rPr>
                    <w:t>化粪池处理后，排入</w:t>
                  </w:r>
                  <w:r>
                    <w:rPr>
                      <w:rFonts w:hint="eastAsia"/>
                      <w:color w:val="000000"/>
                      <w:szCs w:val="21"/>
                    </w:rPr>
                    <w:t>联熹</w:t>
                  </w:r>
                  <w:r>
                    <w:rPr>
                      <w:color w:val="000000"/>
                      <w:szCs w:val="21"/>
                    </w:rPr>
                    <w:t>污水处理厂</w:t>
                  </w:r>
                  <w:r>
                    <w:rPr>
                      <w:rFonts w:hint="eastAsia"/>
                      <w:color w:val="000000"/>
                      <w:szCs w:val="21"/>
                    </w:rPr>
                    <w:t>处理，处理达标后最终排入店埠河。依托园区雨污管网。</w:t>
                  </w:r>
                </w:p>
              </w:tc>
              <w:tc>
                <w:tcPr>
                  <w:tcW w:w="3154" w:type="dxa"/>
                  <w:vAlign w:val="center"/>
                </w:tcPr>
                <w:p>
                  <w:pPr>
                    <w:pStyle w:val="12"/>
                    <w:spacing w:after="0"/>
                    <w:ind w:left="0" w:leftChars="0" w:firstLine="0" w:firstLineChars="0"/>
                    <w:rPr>
                      <w:bCs/>
                      <w:szCs w:val="21"/>
                    </w:rPr>
                  </w:pPr>
                  <w:r>
                    <w:rPr>
                      <w:color w:val="000000"/>
                      <w:szCs w:val="21"/>
                    </w:rPr>
                    <w:t>磨边废水循环使用，不外排；清洗废水经</w:t>
                  </w:r>
                  <w:r>
                    <w:rPr>
                      <w:rFonts w:hint="eastAsia"/>
                      <w:color w:val="000000"/>
                      <w:szCs w:val="21"/>
                    </w:rPr>
                    <w:t xml:space="preserve">水处理净化设备处理 </w:t>
                  </w:r>
                  <w:r>
                    <w:rPr>
                      <w:color w:val="000000"/>
                      <w:szCs w:val="21"/>
                    </w:rPr>
                    <w:t>后回用于生产，不外排；生活污水</w:t>
                  </w:r>
                  <w:r>
                    <w:rPr>
                      <w:rFonts w:hint="eastAsia"/>
                      <w:color w:val="000000"/>
                      <w:szCs w:val="21"/>
                    </w:rPr>
                    <w:t>、食堂废水</w:t>
                  </w:r>
                  <w:r>
                    <w:rPr>
                      <w:color w:val="000000"/>
                      <w:szCs w:val="21"/>
                    </w:rPr>
                    <w:t>经</w:t>
                  </w:r>
                  <w:r>
                    <w:rPr>
                      <w:rFonts w:hint="eastAsia"/>
                      <w:color w:val="000000"/>
                      <w:szCs w:val="21"/>
                    </w:rPr>
                    <w:t>隔油池、</w:t>
                  </w:r>
                  <w:r>
                    <w:rPr>
                      <w:color w:val="000000"/>
                      <w:szCs w:val="21"/>
                    </w:rPr>
                    <w:t>化粪池处理后，排入</w:t>
                  </w:r>
                  <w:r>
                    <w:rPr>
                      <w:rFonts w:hint="eastAsia"/>
                      <w:color w:val="000000"/>
                      <w:szCs w:val="21"/>
                    </w:rPr>
                    <w:t>联熹</w:t>
                  </w:r>
                  <w:r>
                    <w:rPr>
                      <w:color w:val="000000"/>
                      <w:szCs w:val="21"/>
                    </w:rPr>
                    <w:t>污水处理厂</w:t>
                  </w:r>
                  <w:r>
                    <w:rPr>
                      <w:rFonts w:hint="eastAsia"/>
                      <w:color w:val="000000"/>
                      <w:szCs w:val="21"/>
                    </w:rPr>
                    <w:t>处理，处理达标后最终排入店埠河。依托园区雨污管网。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adjustRightInd w:val="0"/>
                    <w:snapToGrid w:val="0"/>
                    <w:jc w:val="center"/>
                    <w:rPr>
                      <w:bCs/>
                      <w:szCs w:val="21"/>
                    </w:rPr>
                  </w:pPr>
                  <w:r>
                    <w:rPr>
                      <w:rFonts w:hint="eastAsia"/>
                      <w:bCs/>
                      <w:szCs w:val="21"/>
                    </w:rPr>
                    <w:t>供电</w:t>
                  </w:r>
                </w:p>
              </w:tc>
              <w:tc>
                <w:tcPr>
                  <w:tcW w:w="3756" w:type="dxa"/>
                  <w:vAlign w:val="center"/>
                </w:tcPr>
                <w:p>
                  <w:pPr>
                    <w:pStyle w:val="12"/>
                    <w:spacing w:after="0"/>
                    <w:ind w:left="0" w:leftChars="0" w:firstLine="0" w:firstLineChars="0"/>
                    <w:jc w:val="center"/>
                    <w:rPr>
                      <w:color w:val="000000"/>
                      <w:szCs w:val="21"/>
                    </w:rPr>
                  </w:pPr>
                  <w:r>
                    <w:rPr>
                      <w:color w:val="000000"/>
                      <w:szCs w:val="21"/>
                    </w:rPr>
                    <w:t>市政供电管网，年用电量</w:t>
                  </w:r>
                  <w:r>
                    <w:rPr>
                      <w:rFonts w:hint="eastAsia"/>
                      <w:szCs w:val="21"/>
                    </w:rPr>
                    <w:t>220</w:t>
                  </w:r>
                  <w:r>
                    <w:rPr>
                      <w:color w:val="000000"/>
                      <w:szCs w:val="21"/>
                    </w:rPr>
                    <w:t>万度</w:t>
                  </w:r>
                </w:p>
              </w:tc>
              <w:tc>
                <w:tcPr>
                  <w:tcW w:w="3154" w:type="dxa"/>
                  <w:vAlign w:val="center"/>
                </w:tcPr>
                <w:p>
                  <w:pPr>
                    <w:pStyle w:val="12"/>
                    <w:spacing w:after="0"/>
                    <w:ind w:left="0" w:leftChars="0" w:firstLine="0" w:firstLineChars="0"/>
                    <w:rPr>
                      <w:bCs/>
                      <w:szCs w:val="21"/>
                    </w:rPr>
                  </w:pPr>
                  <w:r>
                    <w:rPr>
                      <w:color w:val="000000"/>
                      <w:szCs w:val="21"/>
                    </w:rPr>
                    <w:t>市政供电管网，年用电量</w:t>
                  </w:r>
                  <w:r>
                    <w:rPr>
                      <w:rFonts w:hint="eastAsia"/>
                      <w:szCs w:val="21"/>
                    </w:rPr>
                    <w:t>220</w:t>
                  </w:r>
                  <w:r>
                    <w:rPr>
                      <w:color w:val="000000"/>
                      <w:szCs w:val="21"/>
                    </w:rPr>
                    <w:t>万度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4" w:type="dxa"/>
                  <w:vMerge w:val="restart"/>
                  <w:vAlign w:val="center"/>
                </w:tcPr>
                <w:p>
                  <w:pPr>
                    <w:pStyle w:val="10"/>
                    <w:ind w:left="0" w:leftChars="0"/>
                    <w:jc w:val="center"/>
                    <w:rPr>
                      <w:bCs/>
                      <w:szCs w:val="21"/>
                    </w:rPr>
                  </w:pPr>
                  <w:r>
                    <w:rPr>
                      <w:rFonts w:hint="eastAsia"/>
                      <w:bCs/>
                      <w:szCs w:val="21"/>
                    </w:rPr>
                    <w:t>环保工程</w:t>
                  </w:r>
                </w:p>
              </w:tc>
              <w:tc>
                <w:tcPr>
                  <w:tcW w:w="1720" w:type="dxa"/>
                  <w:vAlign w:val="center"/>
                </w:tcPr>
                <w:p>
                  <w:pPr>
                    <w:tabs>
                      <w:tab w:val="left" w:pos="3255"/>
                    </w:tabs>
                    <w:adjustRightInd w:val="0"/>
                    <w:snapToGrid w:val="0"/>
                    <w:jc w:val="center"/>
                    <w:rPr>
                      <w:bCs/>
                      <w:szCs w:val="21"/>
                    </w:rPr>
                  </w:pPr>
                  <w:r>
                    <w:rPr>
                      <w:bCs/>
                      <w:szCs w:val="21"/>
                    </w:rPr>
                    <w:t>废水治理</w:t>
                  </w:r>
                </w:p>
              </w:tc>
              <w:tc>
                <w:tcPr>
                  <w:tcW w:w="3756" w:type="dxa"/>
                  <w:vAlign w:val="center"/>
                </w:tcPr>
                <w:p>
                  <w:pPr>
                    <w:adjustRightInd w:val="0"/>
                    <w:snapToGrid w:val="0"/>
                    <w:jc w:val="center"/>
                    <w:rPr>
                      <w:bCs/>
                      <w:szCs w:val="21"/>
                    </w:rPr>
                  </w:pPr>
                  <w:r>
                    <w:rPr>
                      <w:rFonts w:hint="eastAsia"/>
                      <w:color w:val="000000"/>
                      <w:szCs w:val="21"/>
                    </w:rPr>
                    <w:t>项目区排水采用雨、污分流制，厂区的雨水由道路旁的雨水口及车间周围的雨水沟，汇入雨水管网；玻璃清洗废水和磨边废水经沉淀池处理后循环使用，生活污水、食堂废水经隔油池、化粪池预处理后排入联熹污水处理厂，处理达标后排放，最后进入店埠河</w:t>
                  </w:r>
                </w:p>
              </w:tc>
              <w:tc>
                <w:tcPr>
                  <w:tcW w:w="3154" w:type="dxa"/>
                </w:tcPr>
                <w:p>
                  <w:pPr>
                    <w:pStyle w:val="12"/>
                    <w:spacing w:after="0"/>
                    <w:ind w:left="0" w:leftChars="0"/>
                    <w:jc w:val="center"/>
                  </w:pPr>
                  <w:r>
                    <w:rPr>
                      <w:rFonts w:hint="eastAsia"/>
                      <w:color w:val="000000"/>
                      <w:szCs w:val="21"/>
                    </w:rPr>
                    <w:t>项目区排水采用雨、污分流制，厂区的雨水由道路旁的雨水口及车间周围的雨水沟，汇入雨水管网；玻璃清洗废水和磨边废水经水处理净化设备处理后循环使用，生活污水、食堂废水经隔油池、化粪池预处理后排入联熹污水处理厂，处理达标后排放，最后进入店埠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10"/>
                    <w:jc w:val="center"/>
                    <w:rPr>
                      <w:bCs/>
                      <w:color w:val="FF0000"/>
                      <w:szCs w:val="21"/>
                    </w:rPr>
                  </w:pPr>
                </w:p>
              </w:tc>
              <w:tc>
                <w:tcPr>
                  <w:tcW w:w="1720" w:type="dxa"/>
                  <w:vAlign w:val="center"/>
                </w:tcPr>
                <w:p>
                  <w:pPr>
                    <w:tabs>
                      <w:tab w:val="left" w:pos="3255"/>
                    </w:tabs>
                    <w:adjustRightInd w:val="0"/>
                    <w:snapToGrid w:val="0"/>
                    <w:jc w:val="center"/>
                    <w:rPr>
                      <w:bCs/>
                      <w:szCs w:val="21"/>
                    </w:rPr>
                  </w:pPr>
                  <w:r>
                    <w:rPr>
                      <w:bCs/>
                      <w:szCs w:val="21"/>
                    </w:rPr>
                    <w:t>废气治理</w:t>
                  </w:r>
                </w:p>
              </w:tc>
              <w:tc>
                <w:tcPr>
                  <w:tcW w:w="3756" w:type="dxa"/>
                  <w:vAlign w:val="center"/>
                </w:tcPr>
                <w:p>
                  <w:pPr>
                    <w:pStyle w:val="2"/>
                    <w:spacing w:line="240" w:lineRule="auto"/>
                    <w:rPr>
                      <w:szCs w:val="21"/>
                    </w:rPr>
                  </w:pPr>
                  <w:r>
                    <w:rPr>
                      <w:rFonts w:ascii="Times New Roman" w:hAnsi="Times New Roman"/>
                      <w:b w:val="0"/>
                      <w:color w:val="000000"/>
                      <w:sz w:val="21"/>
                      <w:szCs w:val="21"/>
                    </w:rPr>
                    <w:t>加强车间通风换气</w:t>
                  </w:r>
                  <w:r>
                    <w:rPr>
                      <w:rFonts w:ascii="Times New Roman" w:hAnsi="Times New Roman"/>
                      <w:b w:val="0"/>
                      <w:sz w:val="21"/>
                      <w:szCs w:val="21"/>
                    </w:rPr>
                    <w:t>；</w:t>
                  </w:r>
                  <w:r>
                    <w:rPr>
                      <w:rFonts w:hint="eastAsia"/>
                      <w:b w:val="0"/>
                      <w:sz w:val="21"/>
                      <w:szCs w:val="21"/>
                    </w:rPr>
                    <w:t>3</w:t>
                  </w:r>
                  <w:r>
                    <w:rPr>
                      <w:rFonts w:ascii="Times New Roman" w:hAnsi="Times New Roman"/>
                      <w:b w:val="0"/>
                      <w:sz w:val="21"/>
                      <w:szCs w:val="21"/>
                    </w:rPr>
                    <w:t>#厂房设置集气罩将夹胶玻璃有机废气和中空玻璃涂胶、打胶废气收集后经二级活性炭吸附后通过1#15米高排气筒排放；</w:t>
                  </w:r>
                  <w:r>
                    <w:rPr>
                      <w:rFonts w:ascii="Times New Roman" w:hAnsi="Times New Roman"/>
                      <w:b w:val="0"/>
                      <w:color w:val="000000"/>
                      <w:sz w:val="21"/>
                      <w:szCs w:val="21"/>
                    </w:rPr>
                    <w:t>磨边产生的粉尘通过带水操作。全厂区产生的食堂油烟经家用油烟机处理后，于楼顶排放</w:t>
                  </w:r>
                </w:p>
              </w:tc>
              <w:tc>
                <w:tcPr>
                  <w:tcW w:w="3154" w:type="dxa"/>
                  <w:vAlign w:val="center"/>
                </w:tcPr>
                <w:p>
                  <w:pPr>
                    <w:jc w:val="center"/>
                    <w:rPr>
                      <w:bCs/>
                      <w:color w:val="FF0000"/>
                      <w:szCs w:val="21"/>
                    </w:rPr>
                  </w:pPr>
                  <w:r>
                    <w:rPr>
                      <w:color w:val="000000"/>
                      <w:szCs w:val="21"/>
                    </w:rPr>
                    <w:t>加强车间通风换气</w:t>
                  </w:r>
                  <w:r>
                    <w:rPr>
                      <w:szCs w:val="21"/>
                    </w:rPr>
                    <w:t>；</w:t>
                  </w:r>
                  <w:r>
                    <w:rPr>
                      <w:rFonts w:hint="eastAsia"/>
                      <w:szCs w:val="21"/>
                    </w:rPr>
                    <w:t>3</w:t>
                  </w:r>
                  <w:r>
                    <w:rPr>
                      <w:szCs w:val="21"/>
                    </w:rPr>
                    <w:t>#厂房设置集气罩将夹胶玻璃有机废气和中空玻璃涂胶、打胶废气收集后经二级活性炭吸附后通过1#15米高排气筒排放；</w:t>
                  </w:r>
                  <w:r>
                    <w:rPr>
                      <w:color w:val="000000"/>
                      <w:szCs w:val="21"/>
                    </w:rPr>
                    <w:t>磨边产生的粉尘通过带水操作。全厂区产生的食堂油烟经油烟</w:t>
                  </w:r>
                  <w:r>
                    <w:rPr>
                      <w:rFonts w:hint="eastAsia"/>
                      <w:color w:val="000000"/>
                      <w:szCs w:val="21"/>
                      <w:lang w:eastAsia="zh-CN"/>
                    </w:rPr>
                    <w:t>净化器</w:t>
                  </w:r>
                  <w:r>
                    <w:rPr>
                      <w:color w:val="000000"/>
                      <w:szCs w:val="21"/>
                    </w:rPr>
                    <w:t>处理后，于楼顶排放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724" w:type="dxa"/>
                  <w:vMerge w:val="continue"/>
                  <w:vAlign w:val="center"/>
                </w:tcPr>
                <w:p>
                  <w:pPr>
                    <w:pStyle w:val="10"/>
                    <w:jc w:val="center"/>
                    <w:rPr>
                      <w:bCs/>
                      <w:color w:val="FF0000"/>
                      <w:szCs w:val="21"/>
                    </w:rPr>
                  </w:pPr>
                </w:p>
              </w:tc>
              <w:tc>
                <w:tcPr>
                  <w:tcW w:w="1720" w:type="dxa"/>
                  <w:vAlign w:val="center"/>
                </w:tcPr>
                <w:p>
                  <w:pPr>
                    <w:tabs>
                      <w:tab w:val="left" w:pos="3255"/>
                    </w:tabs>
                    <w:adjustRightInd w:val="0"/>
                    <w:snapToGrid w:val="0"/>
                    <w:jc w:val="center"/>
                    <w:rPr>
                      <w:bCs/>
                      <w:szCs w:val="21"/>
                    </w:rPr>
                  </w:pPr>
                  <w:r>
                    <w:rPr>
                      <w:bCs/>
                      <w:szCs w:val="21"/>
                    </w:rPr>
                    <w:t>噪声治理</w:t>
                  </w:r>
                </w:p>
              </w:tc>
              <w:tc>
                <w:tcPr>
                  <w:tcW w:w="3756" w:type="dxa"/>
                  <w:vAlign w:val="center"/>
                </w:tcPr>
                <w:p>
                  <w:pPr>
                    <w:jc w:val="center"/>
                    <w:rPr>
                      <w:bCs/>
                      <w:szCs w:val="21"/>
                    </w:rPr>
                  </w:pPr>
                  <w:r>
                    <w:rPr>
                      <w:color w:val="000000"/>
                      <w:szCs w:val="21"/>
                    </w:rPr>
                    <w:t>生产设备均位于厂房内、设置减振基座、选用低噪声设备、加强设备维护等</w:t>
                  </w:r>
                </w:p>
              </w:tc>
              <w:tc>
                <w:tcPr>
                  <w:tcW w:w="3154" w:type="dxa"/>
                  <w:vAlign w:val="center"/>
                </w:tcPr>
                <w:p>
                  <w:pPr>
                    <w:jc w:val="center"/>
                    <w:rPr>
                      <w:bCs/>
                      <w:szCs w:val="21"/>
                    </w:rPr>
                  </w:pPr>
                  <w:r>
                    <w:rPr>
                      <w:color w:val="000000"/>
                      <w:szCs w:val="21"/>
                    </w:rPr>
                    <w:t>生产设备均位于厂房内、设置减振基座、选用低噪声设备、加强设备维护等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3" w:hRule="atLeast"/>
                <w:jc w:val="center"/>
              </w:trPr>
              <w:tc>
                <w:tcPr>
                  <w:tcW w:w="724" w:type="dxa"/>
                  <w:vMerge w:val="continue"/>
                  <w:vAlign w:val="center"/>
                </w:tcPr>
                <w:p>
                  <w:pPr>
                    <w:pStyle w:val="10"/>
                    <w:jc w:val="center"/>
                    <w:rPr>
                      <w:bCs/>
                      <w:color w:val="FF0000"/>
                      <w:szCs w:val="21"/>
                    </w:rPr>
                  </w:pPr>
                </w:p>
              </w:tc>
              <w:tc>
                <w:tcPr>
                  <w:tcW w:w="1720" w:type="dxa"/>
                  <w:vAlign w:val="center"/>
                </w:tcPr>
                <w:p>
                  <w:pPr>
                    <w:jc w:val="center"/>
                    <w:rPr>
                      <w:bCs/>
                      <w:color w:val="FF0000"/>
                      <w:szCs w:val="21"/>
                    </w:rPr>
                  </w:pPr>
                  <w:r>
                    <w:rPr>
                      <w:rFonts w:hint="eastAsia"/>
                      <w:bCs/>
                      <w:szCs w:val="21"/>
                    </w:rPr>
                    <w:t>固废治理</w:t>
                  </w:r>
                </w:p>
              </w:tc>
              <w:tc>
                <w:tcPr>
                  <w:tcW w:w="3756" w:type="dxa"/>
                  <w:vAlign w:val="center"/>
                </w:tcPr>
                <w:p>
                  <w:pPr>
                    <w:jc w:val="center"/>
                    <w:rPr>
                      <w:snapToGrid w:val="0"/>
                      <w:kern w:val="0"/>
                    </w:rPr>
                  </w:pPr>
                  <w:r>
                    <w:rPr>
                      <w:color w:val="000000"/>
                      <w:szCs w:val="21"/>
                    </w:rPr>
                    <w:t>生活垃圾</w:t>
                  </w:r>
                  <w:r>
                    <w:rPr>
                      <w:rFonts w:hint="eastAsia"/>
                      <w:color w:val="000000"/>
                      <w:szCs w:val="21"/>
                    </w:rPr>
                    <w:t>收集后，委托环卫部门清运；废玻璃、</w:t>
                  </w:r>
                  <w:r>
                    <w:rPr>
                      <w:rFonts w:hint="eastAsia" w:ascii="宋体" w:hAnsi="宋体" w:cs="宋体"/>
                      <w:color w:val="000000"/>
                      <w:szCs w:val="21"/>
                    </w:rPr>
                    <w:t>边角料等集中收集后，外售处理；沉淀池（</w:t>
                  </w:r>
                  <w:r>
                    <w:rPr>
                      <w:rFonts w:hint="eastAsia"/>
                      <w:szCs w:val="21"/>
                    </w:rPr>
                    <w:t>12m*1.5m*1.0m</w:t>
                  </w:r>
                  <w:r>
                    <w:rPr>
                      <w:rFonts w:hint="eastAsia" w:ascii="宋体" w:hAnsi="宋体" w:cs="宋体"/>
                      <w:color w:val="000000"/>
                      <w:szCs w:val="21"/>
                    </w:rPr>
                    <w:t>）污泥经脱水压滤机过滤形成泥饼，外售处理；废胶桶、废活性炭暂存于车间内危废存放点</w:t>
                  </w:r>
                  <w:r>
                    <w:rPr>
                      <w:rFonts w:hint="eastAsia" w:ascii="宋体" w:hAnsi="宋体" w:cs="宋体"/>
                      <w:szCs w:val="21"/>
                    </w:rPr>
                    <w:t>（设置于3</w:t>
                  </w:r>
                  <w:r>
                    <w:rPr>
                      <w:szCs w:val="21"/>
                    </w:rPr>
                    <w:t>#</w:t>
                  </w:r>
                  <w:r>
                    <w:rPr>
                      <w:rFonts w:hint="eastAsia" w:ascii="宋体" w:hAnsi="宋体" w:cs="宋体"/>
                      <w:szCs w:val="21"/>
                    </w:rPr>
                    <w:t>厂房西南角）</w:t>
                  </w:r>
                  <w:r>
                    <w:rPr>
                      <w:rFonts w:hint="eastAsia" w:ascii="宋体" w:hAnsi="宋体" w:cs="宋体"/>
                      <w:color w:val="000000"/>
                      <w:szCs w:val="21"/>
                    </w:rPr>
                    <w:t>，定期交由有资质的单位进行处置</w:t>
                  </w:r>
                </w:p>
              </w:tc>
              <w:tc>
                <w:tcPr>
                  <w:tcW w:w="3154" w:type="dxa"/>
                  <w:vAlign w:val="center"/>
                </w:tcPr>
                <w:p>
                  <w:pPr>
                    <w:adjustRightInd w:val="0"/>
                    <w:snapToGrid w:val="0"/>
                    <w:jc w:val="center"/>
                    <w:rPr>
                      <w:snapToGrid w:val="0"/>
                      <w:kern w:val="0"/>
                    </w:rPr>
                  </w:pPr>
                  <w:r>
                    <w:rPr>
                      <w:color w:val="000000"/>
                      <w:szCs w:val="21"/>
                    </w:rPr>
                    <w:t>生活垃圾</w:t>
                  </w:r>
                  <w:r>
                    <w:rPr>
                      <w:rFonts w:hint="eastAsia"/>
                      <w:color w:val="000000"/>
                      <w:szCs w:val="21"/>
                    </w:rPr>
                    <w:t>收集后，委托环卫部门清运；废玻璃、</w:t>
                  </w:r>
                  <w:r>
                    <w:rPr>
                      <w:rFonts w:hint="eastAsia" w:ascii="宋体" w:hAnsi="宋体" w:cs="宋体"/>
                      <w:color w:val="000000"/>
                      <w:szCs w:val="21"/>
                    </w:rPr>
                    <w:t>边角料等集中收集后，外售处理；水处理设备污泥经脱水压滤机过滤形成泥饼，外售处理；废胶桶、废活性炭暂存于车间内危废存放点，定期交由安徽上峰杰夏环保科技有限责任公司进行处置。</w:t>
                  </w:r>
                </w:p>
              </w:tc>
            </w:tr>
            <w:bookmarkEnd w:id="2"/>
          </w:tbl>
          <w:p>
            <w:pPr>
              <w:spacing w:before="156" w:beforeLines="50" w:line="360" w:lineRule="auto"/>
              <w:ind w:firstLine="480" w:firstLineChars="200"/>
              <w:rPr>
                <w:b/>
                <w:snapToGrid w:val="0"/>
                <w:kern w:val="0"/>
                <w:sz w:val="24"/>
              </w:rPr>
            </w:pPr>
            <w:r>
              <w:rPr>
                <w:bCs/>
                <w:sz w:val="24"/>
              </w:rPr>
              <w:t>项目主要生产设备（见表2-</w:t>
            </w:r>
            <w:r>
              <w:rPr>
                <w:rFonts w:hint="eastAsia"/>
                <w:bCs/>
                <w:sz w:val="24"/>
              </w:rPr>
              <w:t>2</w:t>
            </w:r>
            <w:r>
              <w:rPr>
                <w:bCs/>
                <w:sz w:val="24"/>
              </w:rPr>
              <w:t>）</w:t>
            </w:r>
          </w:p>
          <w:p>
            <w:pPr>
              <w:tabs>
                <w:tab w:val="center" w:pos="4765"/>
                <w:tab w:val="left" w:pos="6420"/>
              </w:tabs>
              <w:adjustRightInd w:val="0"/>
              <w:snapToGrid w:val="0"/>
              <w:spacing w:line="360" w:lineRule="auto"/>
              <w:jc w:val="center"/>
              <w:rPr>
                <w:b/>
                <w:szCs w:val="21"/>
              </w:rPr>
            </w:pPr>
            <w:r>
              <w:rPr>
                <w:b/>
                <w:szCs w:val="21"/>
              </w:rPr>
              <w:t>表2-</w:t>
            </w:r>
            <w:r>
              <w:rPr>
                <w:rFonts w:hint="eastAsia"/>
                <w:b/>
                <w:szCs w:val="21"/>
              </w:rPr>
              <w:t xml:space="preserve">2  </w:t>
            </w:r>
            <w:r>
              <w:rPr>
                <w:b/>
                <w:szCs w:val="21"/>
              </w:rPr>
              <w:t>生产设备一览表</w:t>
            </w:r>
          </w:p>
          <w:tbl>
            <w:tblPr>
              <w:tblStyle w:val="23"/>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010"/>
              <w:gridCol w:w="1245"/>
              <w:gridCol w:w="1132"/>
              <w:gridCol w:w="2018"/>
              <w:gridCol w:w="975"/>
              <w:gridCol w:w="1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djustRightInd w:val="0"/>
                    <w:snapToGrid w:val="0"/>
                    <w:jc w:val="center"/>
                    <w:rPr>
                      <w:szCs w:val="21"/>
                    </w:rPr>
                  </w:pPr>
                  <w:r>
                    <w:rPr>
                      <w:rFonts w:hint="eastAsia"/>
                      <w:szCs w:val="21"/>
                    </w:rPr>
                    <w:t>序号</w:t>
                  </w:r>
                </w:p>
              </w:tc>
              <w:tc>
                <w:tcPr>
                  <w:tcW w:w="4387" w:type="dxa"/>
                  <w:gridSpan w:val="3"/>
                  <w:vAlign w:val="center"/>
                </w:tcPr>
                <w:p>
                  <w:pPr>
                    <w:adjustRightInd w:val="0"/>
                    <w:snapToGrid w:val="0"/>
                    <w:jc w:val="center"/>
                    <w:rPr>
                      <w:szCs w:val="21"/>
                    </w:rPr>
                  </w:pPr>
                  <w:r>
                    <w:rPr>
                      <w:rFonts w:hint="eastAsia"/>
                      <w:szCs w:val="21"/>
                    </w:rPr>
                    <w:t>环评情况</w:t>
                  </w:r>
                </w:p>
              </w:tc>
              <w:tc>
                <w:tcPr>
                  <w:tcW w:w="4227" w:type="dxa"/>
                  <w:gridSpan w:val="3"/>
                  <w:vAlign w:val="center"/>
                </w:tcPr>
                <w:p>
                  <w:pPr>
                    <w:adjustRightInd w:val="0"/>
                    <w:snapToGrid w:val="0"/>
                    <w:jc w:val="center"/>
                    <w:rPr>
                      <w:szCs w:val="21"/>
                    </w:rPr>
                  </w:pPr>
                  <w:r>
                    <w:rPr>
                      <w:rFonts w:hint="eastAsia"/>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adjustRightInd w:val="0"/>
                    <w:snapToGrid w:val="0"/>
                    <w:jc w:val="center"/>
                    <w:rPr>
                      <w:szCs w:val="21"/>
                    </w:rPr>
                  </w:pPr>
                </w:p>
              </w:tc>
              <w:tc>
                <w:tcPr>
                  <w:tcW w:w="2010" w:type="dxa"/>
                  <w:vAlign w:val="center"/>
                </w:tcPr>
                <w:p>
                  <w:pPr>
                    <w:adjustRightInd w:val="0"/>
                    <w:snapToGrid w:val="0"/>
                    <w:jc w:val="center"/>
                    <w:rPr>
                      <w:szCs w:val="21"/>
                    </w:rPr>
                  </w:pPr>
                  <w:r>
                    <w:rPr>
                      <w:rFonts w:hint="eastAsia"/>
                      <w:szCs w:val="21"/>
                    </w:rPr>
                    <w:t>设备名称</w:t>
                  </w:r>
                </w:p>
              </w:tc>
              <w:tc>
                <w:tcPr>
                  <w:tcW w:w="1245" w:type="dxa"/>
                  <w:vAlign w:val="center"/>
                </w:tcPr>
                <w:p>
                  <w:pPr>
                    <w:adjustRightInd w:val="0"/>
                    <w:snapToGrid w:val="0"/>
                    <w:jc w:val="center"/>
                    <w:rPr>
                      <w:szCs w:val="21"/>
                    </w:rPr>
                  </w:pPr>
                  <w:r>
                    <w:rPr>
                      <w:rFonts w:hint="eastAsia"/>
                      <w:szCs w:val="21"/>
                    </w:rPr>
                    <w:t>单位</w:t>
                  </w:r>
                </w:p>
              </w:tc>
              <w:tc>
                <w:tcPr>
                  <w:tcW w:w="1132" w:type="dxa"/>
                  <w:vAlign w:val="center"/>
                </w:tcPr>
                <w:p>
                  <w:pPr>
                    <w:adjustRightInd w:val="0"/>
                    <w:snapToGrid w:val="0"/>
                    <w:jc w:val="center"/>
                    <w:rPr>
                      <w:szCs w:val="21"/>
                    </w:rPr>
                  </w:pPr>
                  <w:r>
                    <w:rPr>
                      <w:rFonts w:hint="eastAsia"/>
                      <w:szCs w:val="21"/>
                    </w:rPr>
                    <w:t>数量</w:t>
                  </w:r>
                </w:p>
              </w:tc>
              <w:tc>
                <w:tcPr>
                  <w:tcW w:w="2018" w:type="dxa"/>
                  <w:vAlign w:val="center"/>
                </w:tcPr>
                <w:p>
                  <w:pPr>
                    <w:adjustRightInd w:val="0"/>
                    <w:snapToGrid w:val="0"/>
                    <w:jc w:val="center"/>
                    <w:rPr>
                      <w:szCs w:val="21"/>
                    </w:rPr>
                  </w:pPr>
                  <w:r>
                    <w:rPr>
                      <w:rFonts w:hint="eastAsia"/>
                      <w:szCs w:val="21"/>
                    </w:rPr>
                    <w:t>设备名称</w:t>
                  </w:r>
                </w:p>
              </w:tc>
              <w:tc>
                <w:tcPr>
                  <w:tcW w:w="975" w:type="dxa"/>
                  <w:vAlign w:val="center"/>
                </w:tcPr>
                <w:p>
                  <w:pPr>
                    <w:adjustRightInd w:val="0"/>
                    <w:snapToGrid w:val="0"/>
                    <w:jc w:val="center"/>
                    <w:rPr>
                      <w:szCs w:val="21"/>
                    </w:rPr>
                  </w:pPr>
                  <w:r>
                    <w:rPr>
                      <w:rFonts w:hint="eastAsia"/>
                      <w:szCs w:val="21"/>
                    </w:rPr>
                    <w:t>单位</w:t>
                  </w:r>
                </w:p>
              </w:tc>
              <w:tc>
                <w:tcPr>
                  <w:tcW w:w="1234" w:type="dxa"/>
                  <w:vAlign w:val="center"/>
                </w:tcPr>
                <w:p>
                  <w:pPr>
                    <w:adjustRightInd w:val="0"/>
                    <w:snapToGrid w:val="0"/>
                    <w:jc w:val="center"/>
                    <w:rPr>
                      <w:szCs w:val="21"/>
                    </w:rPr>
                  </w:pPr>
                  <w:r>
                    <w:rPr>
                      <w:rFonts w:hint="eastAsia"/>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kern w:val="0"/>
                      <w:sz w:val="18"/>
                      <w:szCs w:val="18"/>
                    </w:rPr>
                  </w:pPr>
                  <w:r>
                    <w:rPr>
                      <w:kern w:val="0"/>
                      <w:sz w:val="18"/>
                      <w:szCs w:val="18"/>
                    </w:rPr>
                    <w:t>1</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数控玻璃切割</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3</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数控玻璃切割</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台</w:t>
                  </w:r>
                </w:p>
              </w:tc>
              <w:tc>
                <w:tcPr>
                  <w:tcW w:w="1234" w:type="dxa"/>
                  <w:vAlign w:val="center"/>
                </w:tcPr>
                <w:p>
                  <w:pPr>
                    <w:jc w:val="center"/>
                    <w:rPr>
                      <w:szCs w:val="21"/>
                    </w:rPr>
                  </w:pPr>
                  <w:r>
                    <w:rPr>
                      <w:rFonts w:hint="eastAsia"/>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kern w:val="0"/>
                      <w:sz w:val="18"/>
                      <w:szCs w:val="18"/>
                    </w:rPr>
                  </w:pPr>
                  <w:r>
                    <w:rPr>
                      <w:rFonts w:hint="eastAsia"/>
                      <w:kern w:val="0"/>
                      <w:sz w:val="18"/>
                      <w:szCs w:val="18"/>
                    </w:rPr>
                    <w:t>2</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全自动高速磨边线</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条</w:t>
                  </w:r>
                </w:p>
              </w:tc>
              <w:tc>
                <w:tcPr>
                  <w:tcW w:w="1132" w:type="dxa"/>
                  <w:vAlign w:val="center"/>
                </w:tcPr>
                <w:p>
                  <w:pPr>
                    <w:jc w:val="center"/>
                    <w:rPr>
                      <w:szCs w:val="21"/>
                    </w:rPr>
                  </w:pPr>
                  <w:r>
                    <w:rPr>
                      <w:rFonts w:hint="eastAsia"/>
                      <w:color w:val="000000"/>
                      <w:szCs w:val="21"/>
                    </w:rPr>
                    <w:t>2</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全自动高速磨边线</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条</w:t>
                  </w:r>
                </w:p>
              </w:tc>
              <w:tc>
                <w:tcPr>
                  <w:tcW w:w="1234" w:type="dxa"/>
                  <w:vAlign w:val="center"/>
                </w:tcPr>
                <w:p>
                  <w:pPr>
                    <w:jc w:val="center"/>
                    <w:rPr>
                      <w:szCs w:val="21"/>
                    </w:rPr>
                  </w:pPr>
                  <w:r>
                    <w:rPr>
                      <w:rFonts w:hint="eastAsia"/>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kern w:val="0"/>
                      <w:sz w:val="18"/>
                      <w:szCs w:val="18"/>
                    </w:rPr>
                  </w:pPr>
                  <w:r>
                    <w:rPr>
                      <w:rFonts w:hint="eastAsia"/>
                      <w:kern w:val="0"/>
                      <w:sz w:val="18"/>
                      <w:szCs w:val="18"/>
                    </w:rPr>
                    <w:t>3</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全自动四边磨边线</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条</w:t>
                  </w:r>
                </w:p>
              </w:tc>
              <w:tc>
                <w:tcPr>
                  <w:tcW w:w="1132" w:type="dxa"/>
                  <w:vAlign w:val="center"/>
                </w:tcPr>
                <w:p>
                  <w:pPr>
                    <w:jc w:val="center"/>
                    <w:rPr>
                      <w:szCs w:val="21"/>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全自动四边磨边线</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条</w:t>
                  </w:r>
                </w:p>
              </w:tc>
              <w:tc>
                <w:tcPr>
                  <w:tcW w:w="1234" w:type="dxa"/>
                  <w:vAlign w:val="center"/>
                </w:tcPr>
                <w:p>
                  <w:pPr>
                    <w:jc w:val="center"/>
                    <w:rPr>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kern w:val="0"/>
                      <w:sz w:val="18"/>
                      <w:szCs w:val="18"/>
                    </w:rPr>
                  </w:pPr>
                  <w:r>
                    <w:rPr>
                      <w:rFonts w:hint="eastAsia"/>
                      <w:kern w:val="0"/>
                      <w:sz w:val="18"/>
                      <w:szCs w:val="18"/>
                    </w:rPr>
                    <w:t>4</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全自动精磨磨边线</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条</w:t>
                  </w:r>
                </w:p>
              </w:tc>
              <w:tc>
                <w:tcPr>
                  <w:tcW w:w="1132" w:type="dxa"/>
                  <w:vAlign w:val="center"/>
                </w:tcPr>
                <w:p>
                  <w:pPr>
                    <w:jc w:val="center"/>
                    <w:rPr>
                      <w:szCs w:val="21"/>
                    </w:rPr>
                  </w:pPr>
                  <w:r>
                    <w:rPr>
                      <w:rFonts w:hint="eastAsia"/>
                      <w:color w:val="000000"/>
                      <w:szCs w:val="21"/>
                    </w:rPr>
                    <w:t>2</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全自动精磨磨边线</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条</w:t>
                  </w:r>
                </w:p>
              </w:tc>
              <w:tc>
                <w:tcPr>
                  <w:tcW w:w="1234" w:type="dxa"/>
                  <w:vAlign w:val="center"/>
                </w:tcPr>
                <w:p>
                  <w:pPr>
                    <w:jc w:val="center"/>
                    <w:rPr>
                      <w:szCs w:val="21"/>
                    </w:rPr>
                  </w:pPr>
                  <w:r>
                    <w:rPr>
                      <w:rFonts w:hint="eastAsia"/>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kern w:val="0"/>
                      <w:sz w:val="18"/>
                      <w:szCs w:val="18"/>
                    </w:rPr>
                  </w:pPr>
                  <w:r>
                    <w:rPr>
                      <w:kern w:val="0"/>
                      <w:sz w:val="18"/>
                      <w:szCs w:val="18"/>
                    </w:rPr>
                    <w:t>5</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对流钢化炉</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1</w:t>
                  </w:r>
                </w:p>
              </w:tc>
              <w:tc>
                <w:tcPr>
                  <w:tcW w:w="2018" w:type="dxa"/>
                  <w:vAlign w:val="center"/>
                </w:tcPr>
                <w:p>
                  <w:pPr>
                    <w:snapToGrid w:val="0"/>
                    <w:spacing w:line="240" w:lineRule="atLeast"/>
                    <w:jc w:val="center"/>
                    <w:rPr>
                      <w:kern w:val="0"/>
                      <w:sz w:val="18"/>
                      <w:szCs w:val="18"/>
                      <w:highlight w:val="yellow"/>
                    </w:rPr>
                  </w:pPr>
                  <w:r>
                    <w:rPr>
                      <w:rFonts w:hint="eastAsia" w:ascii="宋体" w:hAnsi="宋体" w:cs="宋体"/>
                      <w:kern w:val="0"/>
                      <w:szCs w:val="21"/>
                    </w:rPr>
                    <w:t>对流钢化炉</w:t>
                  </w:r>
                </w:p>
              </w:tc>
              <w:tc>
                <w:tcPr>
                  <w:tcW w:w="975" w:type="dxa"/>
                  <w:vAlign w:val="center"/>
                </w:tcPr>
                <w:p>
                  <w:pPr>
                    <w:snapToGrid w:val="0"/>
                    <w:spacing w:line="240" w:lineRule="atLeast"/>
                    <w:jc w:val="center"/>
                    <w:rPr>
                      <w:sz w:val="18"/>
                      <w:szCs w:val="18"/>
                    </w:rPr>
                  </w:pPr>
                  <w:r>
                    <w:rPr>
                      <w:rFonts w:hint="eastAsia" w:ascii="宋体" w:hAnsi="宋体" w:cs="宋体"/>
                      <w:kern w:val="0"/>
                      <w:szCs w:val="21"/>
                    </w:rPr>
                    <w:t>台</w:t>
                  </w:r>
                </w:p>
              </w:tc>
              <w:tc>
                <w:tcPr>
                  <w:tcW w:w="1234" w:type="dxa"/>
                  <w:vAlign w:val="center"/>
                </w:tcPr>
                <w:p>
                  <w:pPr>
                    <w:jc w:val="center"/>
                    <w:rPr>
                      <w:color w:val="FF0000"/>
                      <w:sz w:val="18"/>
                      <w:szCs w:val="18"/>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6</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弯钢炉</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套</w:t>
                  </w:r>
                </w:p>
              </w:tc>
              <w:tc>
                <w:tcPr>
                  <w:tcW w:w="1132" w:type="dxa"/>
                  <w:vAlign w:val="center"/>
                </w:tcPr>
                <w:p>
                  <w:pPr>
                    <w:jc w:val="center"/>
                    <w:rPr>
                      <w:kern w:val="0"/>
                      <w:sz w:val="18"/>
                      <w:szCs w:val="18"/>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弯钢炉</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套</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7</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均质炉</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套</w:t>
                  </w:r>
                </w:p>
              </w:tc>
              <w:tc>
                <w:tcPr>
                  <w:tcW w:w="1132" w:type="dxa"/>
                  <w:vAlign w:val="center"/>
                </w:tcPr>
                <w:p>
                  <w:pPr>
                    <w:jc w:val="center"/>
                    <w:rPr>
                      <w:kern w:val="0"/>
                      <w:sz w:val="18"/>
                      <w:szCs w:val="18"/>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均质炉</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套</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8</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加工中心</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组</w:t>
                  </w:r>
                </w:p>
              </w:tc>
              <w:tc>
                <w:tcPr>
                  <w:tcW w:w="1132" w:type="dxa"/>
                  <w:vAlign w:val="center"/>
                </w:tcPr>
                <w:p>
                  <w:pPr>
                    <w:jc w:val="center"/>
                    <w:rPr>
                      <w:kern w:val="0"/>
                      <w:sz w:val="18"/>
                      <w:szCs w:val="18"/>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加工中心</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组</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9</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水刀</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台</w:t>
                  </w:r>
                </w:p>
              </w:tc>
              <w:tc>
                <w:tcPr>
                  <w:tcW w:w="1132" w:type="dxa"/>
                  <w:vAlign w:val="center"/>
                </w:tcPr>
                <w:p>
                  <w:pPr>
                    <w:jc w:val="center"/>
                    <w:rPr>
                      <w:kern w:val="0"/>
                      <w:sz w:val="18"/>
                      <w:szCs w:val="18"/>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水刀</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台</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10</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电动叉车</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辆</w:t>
                  </w:r>
                </w:p>
              </w:tc>
              <w:tc>
                <w:tcPr>
                  <w:tcW w:w="1132" w:type="dxa"/>
                  <w:vAlign w:val="center"/>
                </w:tcPr>
                <w:p>
                  <w:pPr>
                    <w:jc w:val="center"/>
                    <w:rPr>
                      <w:kern w:val="0"/>
                      <w:sz w:val="18"/>
                      <w:szCs w:val="18"/>
                    </w:rPr>
                  </w:pPr>
                  <w:r>
                    <w:rPr>
                      <w:rFonts w:hint="eastAsia"/>
                      <w:color w:val="000000"/>
                      <w:szCs w:val="21"/>
                    </w:rPr>
                    <w:t>10</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电动叉车</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辆</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11</w:t>
                  </w:r>
                </w:p>
              </w:tc>
              <w:tc>
                <w:tcPr>
                  <w:tcW w:w="2010" w:type="dxa"/>
                  <w:vAlign w:val="center"/>
                </w:tcPr>
                <w:p>
                  <w:pPr>
                    <w:snapToGrid w:val="0"/>
                    <w:spacing w:line="240" w:lineRule="atLeast"/>
                    <w:jc w:val="center"/>
                    <w:rPr>
                      <w:kern w:val="0"/>
                      <w:sz w:val="18"/>
                      <w:szCs w:val="18"/>
                    </w:rPr>
                  </w:pPr>
                  <w:r>
                    <w:rPr>
                      <w:rFonts w:hint="eastAsia" w:ascii="宋体" w:hAnsi="宋体" w:cs="宋体"/>
                      <w:kern w:val="0"/>
                      <w:szCs w:val="21"/>
                    </w:rPr>
                    <w:t>全自动夹层生产线</w:t>
                  </w:r>
                </w:p>
              </w:tc>
              <w:tc>
                <w:tcPr>
                  <w:tcW w:w="1245" w:type="dxa"/>
                  <w:vAlign w:val="center"/>
                </w:tcPr>
                <w:p>
                  <w:pPr>
                    <w:snapToGrid w:val="0"/>
                    <w:spacing w:line="240" w:lineRule="atLeast"/>
                    <w:jc w:val="center"/>
                    <w:rPr>
                      <w:kern w:val="0"/>
                      <w:sz w:val="18"/>
                      <w:szCs w:val="18"/>
                    </w:rPr>
                  </w:pPr>
                  <w:r>
                    <w:rPr>
                      <w:rFonts w:hint="eastAsia" w:ascii="宋体" w:hAnsi="宋体" w:cs="宋体"/>
                      <w:kern w:val="0"/>
                      <w:szCs w:val="21"/>
                    </w:rPr>
                    <w:t>条</w:t>
                  </w:r>
                </w:p>
              </w:tc>
              <w:tc>
                <w:tcPr>
                  <w:tcW w:w="1132" w:type="dxa"/>
                  <w:vAlign w:val="center"/>
                </w:tcPr>
                <w:p>
                  <w:pPr>
                    <w:jc w:val="center"/>
                    <w:rPr>
                      <w:kern w:val="0"/>
                      <w:sz w:val="18"/>
                      <w:szCs w:val="18"/>
                    </w:rPr>
                  </w:pPr>
                  <w:r>
                    <w:rPr>
                      <w:rFonts w:hint="eastAsia"/>
                      <w:color w:val="000000"/>
                      <w:szCs w:val="21"/>
                    </w:rPr>
                    <w:t>1</w:t>
                  </w:r>
                </w:p>
              </w:tc>
              <w:tc>
                <w:tcPr>
                  <w:tcW w:w="2018"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全自动夹层生产线</w:t>
                  </w:r>
                </w:p>
              </w:tc>
              <w:tc>
                <w:tcPr>
                  <w:tcW w:w="975" w:type="dxa"/>
                  <w:vAlign w:val="center"/>
                </w:tcPr>
                <w:p>
                  <w:pPr>
                    <w:snapToGrid w:val="0"/>
                    <w:spacing w:line="240" w:lineRule="atLeast"/>
                    <w:jc w:val="center"/>
                    <w:rPr>
                      <w:color w:val="000000" w:themeColor="text1"/>
                      <w:szCs w:val="21"/>
                      <w14:textFill>
                        <w14:solidFill>
                          <w14:schemeClr w14:val="tx1"/>
                        </w14:solidFill>
                      </w14:textFill>
                    </w:rPr>
                  </w:pPr>
                  <w:r>
                    <w:rPr>
                      <w:rFonts w:hint="eastAsia" w:ascii="宋体" w:hAnsi="宋体" w:cs="宋体"/>
                      <w:kern w:val="0"/>
                      <w:szCs w:val="21"/>
                    </w:rPr>
                    <w:t>条</w:t>
                  </w:r>
                </w:p>
              </w:tc>
              <w:tc>
                <w:tcPr>
                  <w:tcW w:w="1234" w:type="dxa"/>
                  <w:vAlign w:val="center"/>
                </w:tcPr>
                <w:p>
                  <w:pPr>
                    <w:jc w:val="center"/>
                    <w:rPr>
                      <w:color w:val="000000" w:themeColor="text1"/>
                      <w:szCs w:val="21"/>
                      <w14:textFill>
                        <w14:solidFill>
                          <w14:schemeClr w14:val="tx1"/>
                        </w14:solidFill>
                      </w14:textFill>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12</w:t>
                  </w:r>
                </w:p>
              </w:tc>
              <w:tc>
                <w:tcPr>
                  <w:tcW w:w="2010" w:type="dxa"/>
                  <w:vAlign w:val="center"/>
                </w:tcPr>
                <w:p>
                  <w:pPr>
                    <w:snapToGrid w:val="0"/>
                    <w:spacing w:line="240" w:lineRule="atLeast"/>
                    <w:jc w:val="center"/>
                    <w:rPr>
                      <w:szCs w:val="21"/>
                    </w:rPr>
                  </w:pPr>
                  <w:r>
                    <w:rPr>
                      <w:rFonts w:hint="eastAsia" w:ascii="宋体" w:hAnsi="宋体" w:cs="宋体"/>
                      <w:kern w:val="0"/>
                      <w:szCs w:val="21"/>
                    </w:rPr>
                    <w:t>全自动中空生产线</w:t>
                  </w:r>
                </w:p>
              </w:tc>
              <w:tc>
                <w:tcPr>
                  <w:tcW w:w="1245" w:type="dxa"/>
                  <w:vAlign w:val="center"/>
                </w:tcPr>
                <w:p>
                  <w:pPr>
                    <w:snapToGrid w:val="0"/>
                    <w:spacing w:line="240" w:lineRule="atLeast"/>
                    <w:jc w:val="center"/>
                    <w:rPr>
                      <w:szCs w:val="21"/>
                    </w:rPr>
                  </w:pPr>
                  <w:r>
                    <w:rPr>
                      <w:rFonts w:hint="eastAsia" w:ascii="宋体" w:hAnsi="宋体" w:cs="宋体"/>
                      <w:kern w:val="0"/>
                      <w:szCs w:val="21"/>
                    </w:rPr>
                    <w:t>条</w:t>
                  </w:r>
                </w:p>
              </w:tc>
              <w:tc>
                <w:tcPr>
                  <w:tcW w:w="1132" w:type="dxa"/>
                  <w:vAlign w:val="center"/>
                </w:tcPr>
                <w:p>
                  <w:pPr>
                    <w:jc w:val="center"/>
                    <w:rPr>
                      <w:szCs w:val="21"/>
                    </w:rPr>
                  </w:pPr>
                  <w:r>
                    <w:rPr>
                      <w:rFonts w:hint="eastAsia"/>
                      <w:color w:val="000000"/>
                      <w:szCs w:val="21"/>
                    </w:rPr>
                    <w:t>4</w:t>
                  </w:r>
                </w:p>
              </w:tc>
              <w:tc>
                <w:tcPr>
                  <w:tcW w:w="2018" w:type="dxa"/>
                  <w:vAlign w:val="center"/>
                </w:tcPr>
                <w:p>
                  <w:pPr>
                    <w:snapToGrid w:val="0"/>
                    <w:spacing w:line="240" w:lineRule="atLeast"/>
                    <w:jc w:val="center"/>
                    <w:rPr>
                      <w:szCs w:val="21"/>
                    </w:rPr>
                  </w:pPr>
                  <w:r>
                    <w:rPr>
                      <w:rFonts w:hint="eastAsia" w:ascii="宋体" w:hAnsi="宋体" w:cs="宋体"/>
                      <w:kern w:val="0"/>
                      <w:szCs w:val="21"/>
                    </w:rPr>
                    <w:t>全自动中空生产线</w:t>
                  </w:r>
                </w:p>
              </w:tc>
              <w:tc>
                <w:tcPr>
                  <w:tcW w:w="975" w:type="dxa"/>
                  <w:vAlign w:val="center"/>
                </w:tcPr>
                <w:p>
                  <w:pPr>
                    <w:snapToGrid w:val="0"/>
                    <w:spacing w:line="240" w:lineRule="atLeast"/>
                    <w:jc w:val="center"/>
                    <w:rPr>
                      <w:szCs w:val="21"/>
                    </w:rPr>
                  </w:pPr>
                  <w:r>
                    <w:rPr>
                      <w:rFonts w:hint="eastAsia" w:ascii="宋体" w:hAnsi="宋体" w:cs="宋体"/>
                      <w:kern w:val="0"/>
                      <w:szCs w:val="21"/>
                    </w:rPr>
                    <w:t>条</w:t>
                  </w:r>
                </w:p>
              </w:tc>
              <w:tc>
                <w:tcPr>
                  <w:tcW w:w="1234" w:type="dxa"/>
                  <w:vAlign w:val="center"/>
                </w:tcPr>
                <w:p>
                  <w:pPr>
                    <w:jc w:val="center"/>
                    <w:rPr>
                      <w:szCs w:val="21"/>
                    </w:rPr>
                  </w:pPr>
                  <w:r>
                    <w:rPr>
                      <w:rFonts w:hint="eastAsia"/>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13</w:t>
                  </w:r>
                </w:p>
              </w:tc>
              <w:tc>
                <w:tcPr>
                  <w:tcW w:w="2010" w:type="dxa"/>
                  <w:vAlign w:val="center"/>
                </w:tcPr>
                <w:p>
                  <w:pPr>
                    <w:snapToGrid w:val="0"/>
                    <w:spacing w:line="240" w:lineRule="atLeast"/>
                    <w:jc w:val="center"/>
                    <w:rPr>
                      <w:szCs w:val="21"/>
                    </w:rPr>
                  </w:pPr>
                  <w:r>
                    <w:rPr>
                      <w:rFonts w:hint="eastAsia" w:ascii="宋体" w:hAnsi="宋体" w:cs="宋体"/>
                      <w:kern w:val="0"/>
                      <w:szCs w:val="21"/>
                    </w:rPr>
                    <w:t>玻璃检测设备</w:t>
                  </w:r>
                </w:p>
              </w:tc>
              <w:tc>
                <w:tcPr>
                  <w:tcW w:w="1245" w:type="dxa"/>
                  <w:vAlign w:val="center"/>
                </w:tcPr>
                <w:p>
                  <w:pPr>
                    <w:snapToGrid w:val="0"/>
                    <w:spacing w:line="240" w:lineRule="atLeast"/>
                    <w:jc w:val="center"/>
                    <w:rPr>
                      <w:szCs w:val="21"/>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8</w:t>
                  </w:r>
                </w:p>
              </w:tc>
              <w:tc>
                <w:tcPr>
                  <w:tcW w:w="2018" w:type="dxa"/>
                  <w:vAlign w:val="center"/>
                </w:tcPr>
                <w:p>
                  <w:pPr>
                    <w:snapToGrid w:val="0"/>
                    <w:spacing w:line="240" w:lineRule="atLeast"/>
                    <w:jc w:val="center"/>
                    <w:rPr>
                      <w:szCs w:val="21"/>
                    </w:rPr>
                  </w:pPr>
                  <w:r>
                    <w:rPr>
                      <w:rFonts w:hint="eastAsia" w:ascii="宋体" w:hAnsi="宋体" w:cs="宋体"/>
                      <w:kern w:val="0"/>
                      <w:szCs w:val="21"/>
                    </w:rPr>
                    <w:t>玻璃检测设备</w:t>
                  </w:r>
                </w:p>
              </w:tc>
              <w:tc>
                <w:tcPr>
                  <w:tcW w:w="975" w:type="dxa"/>
                  <w:vAlign w:val="center"/>
                </w:tcPr>
                <w:p>
                  <w:pPr>
                    <w:snapToGrid w:val="0"/>
                    <w:spacing w:line="240" w:lineRule="atLeast"/>
                    <w:jc w:val="center"/>
                    <w:rPr>
                      <w:szCs w:val="21"/>
                    </w:rPr>
                  </w:pPr>
                  <w:r>
                    <w:rPr>
                      <w:rFonts w:hint="eastAsia" w:ascii="宋体" w:hAnsi="宋体" w:cs="宋体"/>
                      <w:kern w:val="0"/>
                      <w:szCs w:val="21"/>
                    </w:rPr>
                    <w:t>台</w:t>
                  </w:r>
                </w:p>
              </w:tc>
              <w:tc>
                <w:tcPr>
                  <w:tcW w:w="1234" w:type="dxa"/>
                  <w:vAlign w:val="center"/>
                </w:tcPr>
                <w:p>
                  <w:pPr>
                    <w:jc w:val="center"/>
                    <w:rPr>
                      <w:szCs w:val="21"/>
                    </w:rPr>
                  </w:pPr>
                  <w:r>
                    <w:rPr>
                      <w:rFonts w:hint="eastAsia"/>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14</w:t>
                  </w:r>
                </w:p>
              </w:tc>
              <w:tc>
                <w:tcPr>
                  <w:tcW w:w="2010" w:type="dxa"/>
                  <w:vAlign w:val="center"/>
                </w:tcPr>
                <w:p>
                  <w:pPr>
                    <w:snapToGrid w:val="0"/>
                    <w:spacing w:line="240" w:lineRule="atLeast"/>
                    <w:jc w:val="center"/>
                    <w:rPr>
                      <w:szCs w:val="21"/>
                    </w:rPr>
                  </w:pPr>
                  <w:r>
                    <w:rPr>
                      <w:rFonts w:hint="eastAsia" w:ascii="宋体" w:hAnsi="宋体" w:cs="宋体"/>
                      <w:kern w:val="0"/>
                      <w:szCs w:val="21"/>
                    </w:rPr>
                    <w:t>百叶系统组装生产线</w:t>
                  </w:r>
                </w:p>
              </w:tc>
              <w:tc>
                <w:tcPr>
                  <w:tcW w:w="1245" w:type="dxa"/>
                  <w:vAlign w:val="center"/>
                </w:tcPr>
                <w:p>
                  <w:pPr>
                    <w:snapToGrid w:val="0"/>
                    <w:spacing w:line="240" w:lineRule="atLeast"/>
                    <w:jc w:val="center"/>
                    <w:rPr>
                      <w:szCs w:val="21"/>
                    </w:rPr>
                  </w:pPr>
                  <w:r>
                    <w:rPr>
                      <w:rFonts w:hint="eastAsia" w:ascii="宋体" w:hAnsi="宋体" w:cs="宋体"/>
                      <w:kern w:val="0"/>
                      <w:szCs w:val="21"/>
                    </w:rPr>
                    <w:t>条</w:t>
                  </w:r>
                </w:p>
              </w:tc>
              <w:tc>
                <w:tcPr>
                  <w:tcW w:w="1132" w:type="dxa"/>
                  <w:vAlign w:val="center"/>
                </w:tcPr>
                <w:p>
                  <w:pPr>
                    <w:jc w:val="center"/>
                    <w:rPr>
                      <w:szCs w:val="21"/>
                    </w:rPr>
                  </w:pPr>
                  <w:r>
                    <w:rPr>
                      <w:rFonts w:hint="eastAsia"/>
                      <w:color w:val="000000"/>
                      <w:szCs w:val="21"/>
                    </w:rPr>
                    <w:t>5</w:t>
                  </w:r>
                </w:p>
              </w:tc>
              <w:tc>
                <w:tcPr>
                  <w:tcW w:w="2018" w:type="dxa"/>
                  <w:vAlign w:val="center"/>
                </w:tcPr>
                <w:p>
                  <w:pPr>
                    <w:snapToGrid w:val="0"/>
                    <w:spacing w:line="240" w:lineRule="atLeast"/>
                    <w:jc w:val="center"/>
                    <w:rPr>
                      <w:szCs w:val="21"/>
                    </w:rPr>
                  </w:pPr>
                  <w:r>
                    <w:rPr>
                      <w:rFonts w:hint="eastAsia" w:ascii="宋体" w:hAnsi="宋体" w:cs="宋体"/>
                      <w:kern w:val="0"/>
                      <w:szCs w:val="21"/>
                    </w:rPr>
                    <w:t>百叶系统组装生产线</w:t>
                  </w:r>
                </w:p>
              </w:tc>
              <w:tc>
                <w:tcPr>
                  <w:tcW w:w="975" w:type="dxa"/>
                  <w:vAlign w:val="center"/>
                </w:tcPr>
                <w:p>
                  <w:pPr>
                    <w:snapToGrid w:val="0"/>
                    <w:spacing w:line="240" w:lineRule="atLeast"/>
                    <w:jc w:val="center"/>
                    <w:rPr>
                      <w:szCs w:val="21"/>
                    </w:rPr>
                  </w:pPr>
                  <w:r>
                    <w:rPr>
                      <w:rFonts w:hint="eastAsia" w:ascii="宋体" w:hAnsi="宋体" w:cs="宋体"/>
                      <w:kern w:val="0"/>
                      <w:szCs w:val="21"/>
                    </w:rPr>
                    <w:t>条</w:t>
                  </w:r>
                </w:p>
              </w:tc>
              <w:tc>
                <w:tcPr>
                  <w:tcW w:w="1234" w:type="dxa"/>
                  <w:vAlign w:val="center"/>
                </w:tcPr>
                <w:p>
                  <w:pPr>
                    <w:jc w:val="center"/>
                    <w:rPr>
                      <w:szCs w:val="21"/>
                    </w:rPr>
                  </w:pPr>
                  <w:r>
                    <w:rPr>
                      <w:rFonts w:hint="eastAsia"/>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15</w:t>
                  </w:r>
                </w:p>
              </w:tc>
              <w:tc>
                <w:tcPr>
                  <w:tcW w:w="2010" w:type="dxa"/>
                  <w:vAlign w:val="center"/>
                </w:tcPr>
                <w:p>
                  <w:pPr>
                    <w:snapToGrid w:val="0"/>
                    <w:spacing w:line="240" w:lineRule="atLeast"/>
                    <w:jc w:val="center"/>
                    <w:rPr>
                      <w:szCs w:val="21"/>
                    </w:rPr>
                  </w:pPr>
                  <w:r>
                    <w:rPr>
                      <w:rFonts w:hint="eastAsia" w:ascii="宋体" w:hAnsi="宋体" w:cs="宋体"/>
                      <w:kern w:val="0"/>
                      <w:szCs w:val="21"/>
                    </w:rPr>
                    <w:t>物流车车辆</w:t>
                  </w:r>
                </w:p>
              </w:tc>
              <w:tc>
                <w:tcPr>
                  <w:tcW w:w="1245" w:type="dxa"/>
                  <w:vAlign w:val="center"/>
                </w:tcPr>
                <w:p>
                  <w:pPr>
                    <w:snapToGrid w:val="0"/>
                    <w:spacing w:line="240" w:lineRule="atLeast"/>
                    <w:jc w:val="center"/>
                    <w:rPr>
                      <w:szCs w:val="21"/>
                    </w:rPr>
                  </w:pPr>
                  <w:r>
                    <w:rPr>
                      <w:rFonts w:hint="eastAsia" w:ascii="宋体" w:hAnsi="宋体" w:cs="宋体"/>
                      <w:kern w:val="0"/>
                      <w:szCs w:val="21"/>
                    </w:rPr>
                    <w:t>辆</w:t>
                  </w:r>
                </w:p>
              </w:tc>
              <w:tc>
                <w:tcPr>
                  <w:tcW w:w="1132" w:type="dxa"/>
                  <w:vAlign w:val="center"/>
                </w:tcPr>
                <w:p>
                  <w:pPr>
                    <w:jc w:val="center"/>
                    <w:rPr>
                      <w:szCs w:val="21"/>
                    </w:rPr>
                  </w:pPr>
                  <w:r>
                    <w:rPr>
                      <w:rFonts w:hint="eastAsia"/>
                      <w:color w:val="000000"/>
                      <w:szCs w:val="21"/>
                    </w:rPr>
                    <w:t>6</w:t>
                  </w:r>
                </w:p>
              </w:tc>
              <w:tc>
                <w:tcPr>
                  <w:tcW w:w="2018" w:type="dxa"/>
                  <w:vAlign w:val="center"/>
                </w:tcPr>
                <w:p>
                  <w:pPr>
                    <w:snapToGrid w:val="0"/>
                    <w:spacing w:line="240" w:lineRule="atLeast"/>
                    <w:jc w:val="center"/>
                    <w:rPr>
                      <w:szCs w:val="21"/>
                    </w:rPr>
                  </w:pPr>
                  <w:r>
                    <w:rPr>
                      <w:rFonts w:hint="eastAsia" w:ascii="宋体" w:hAnsi="宋体" w:cs="宋体"/>
                      <w:kern w:val="0"/>
                      <w:szCs w:val="21"/>
                    </w:rPr>
                    <w:t>物流车车辆</w:t>
                  </w:r>
                </w:p>
              </w:tc>
              <w:tc>
                <w:tcPr>
                  <w:tcW w:w="975" w:type="dxa"/>
                  <w:vAlign w:val="center"/>
                </w:tcPr>
                <w:p>
                  <w:pPr>
                    <w:snapToGrid w:val="0"/>
                    <w:spacing w:line="240" w:lineRule="atLeast"/>
                    <w:jc w:val="center"/>
                    <w:rPr>
                      <w:szCs w:val="21"/>
                    </w:rPr>
                  </w:pPr>
                  <w:r>
                    <w:rPr>
                      <w:rFonts w:hint="eastAsia" w:ascii="宋体" w:hAnsi="宋体" w:cs="宋体"/>
                      <w:kern w:val="0"/>
                      <w:szCs w:val="21"/>
                    </w:rPr>
                    <w:t>辆</w:t>
                  </w:r>
                </w:p>
              </w:tc>
              <w:tc>
                <w:tcPr>
                  <w:tcW w:w="1234" w:type="dxa"/>
                  <w:vAlign w:val="center"/>
                </w:tcPr>
                <w:p>
                  <w:pPr>
                    <w:jc w:val="center"/>
                    <w:rPr>
                      <w:szCs w:val="21"/>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16</w:t>
                  </w:r>
                </w:p>
              </w:tc>
              <w:tc>
                <w:tcPr>
                  <w:tcW w:w="2010" w:type="dxa"/>
                  <w:vAlign w:val="center"/>
                </w:tcPr>
                <w:p>
                  <w:pPr>
                    <w:snapToGrid w:val="0"/>
                    <w:spacing w:line="240" w:lineRule="atLeast"/>
                    <w:jc w:val="center"/>
                    <w:rPr>
                      <w:szCs w:val="21"/>
                    </w:rPr>
                  </w:pPr>
                  <w:r>
                    <w:rPr>
                      <w:rFonts w:hint="eastAsia" w:ascii="宋体" w:hAnsi="宋体" w:cs="宋体"/>
                      <w:kern w:val="0"/>
                      <w:szCs w:val="21"/>
                    </w:rPr>
                    <w:t>自动封胶线</w:t>
                  </w:r>
                </w:p>
              </w:tc>
              <w:tc>
                <w:tcPr>
                  <w:tcW w:w="1245" w:type="dxa"/>
                  <w:vAlign w:val="center"/>
                </w:tcPr>
                <w:p>
                  <w:pPr>
                    <w:snapToGrid w:val="0"/>
                    <w:spacing w:line="240" w:lineRule="atLeast"/>
                    <w:jc w:val="center"/>
                    <w:rPr>
                      <w:szCs w:val="21"/>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3</w:t>
                  </w:r>
                </w:p>
              </w:tc>
              <w:tc>
                <w:tcPr>
                  <w:tcW w:w="2018" w:type="dxa"/>
                  <w:vAlign w:val="center"/>
                </w:tcPr>
                <w:p>
                  <w:pPr>
                    <w:snapToGrid w:val="0"/>
                    <w:spacing w:line="240" w:lineRule="atLeast"/>
                    <w:jc w:val="center"/>
                    <w:rPr>
                      <w:szCs w:val="21"/>
                    </w:rPr>
                  </w:pPr>
                  <w:r>
                    <w:rPr>
                      <w:rFonts w:hint="eastAsia" w:ascii="宋体" w:hAnsi="宋体" w:cs="宋体"/>
                      <w:kern w:val="0"/>
                      <w:szCs w:val="21"/>
                    </w:rPr>
                    <w:t>自动封胶线</w:t>
                  </w:r>
                </w:p>
              </w:tc>
              <w:tc>
                <w:tcPr>
                  <w:tcW w:w="975" w:type="dxa"/>
                  <w:vAlign w:val="center"/>
                </w:tcPr>
                <w:p>
                  <w:pPr>
                    <w:snapToGrid w:val="0"/>
                    <w:spacing w:line="240" w:lineRule="atLeast"/>
                    <w:jc w:val="center"/>
                    <w:rPr>
                      <w:szCs w:val="21"/>
                    </w:rPr>
                  </w:pPr>
                  <w:r>
                    <w:rPr>
                      <w:rFonts w:hint="eastAsia" w:ascii="宋体" w:hAnsi="宋体" w:cs="宋体"/>
                      <w:kern w:val="0"/>
                      <w:szCs w:val="21"/>
                    </w:rPr>
                    <w:t>台</w:t>
                  </w:r>
                </w:p>
              </w:tc>
              <w:tc>
                <w:tcPr>
                  <w:tcW w:w="1234" w:type="dxa"/>
                  <w:vAlign w:val="center"/>
                </w:tcPr>
                <w:p>
                  <w:pPr>
                    <w:jc w:val="center"/>
                    <w:rPr>
                      <w:szCs w:val="21"/>
                    </w:rPr>
                  </w:pPr>
                  <w:r>
                    <w:rPr>
                      <w:rFonts w:hint="eastAsia"/>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17</w:t>
                  </w:r>
                </w:p>
              </w:tc>
              <w:tc>
                <w:tcPr>
                  <w:tcW w:w="2010" w:type="dxa"/>
                  <w:vAlign w:val="center"/>
                </w:tcPr>
                <w:p>
                  <w:pPr>
                    <w:snapToGrid w:val="0"/>
                    <w:spacing w:line="240" w:lineRule="atLeast"/>
                    <w:jc w:val="center"/>
                    <w:rPr>
                      <w:szCs w:val="21"/>
                    </w:rPr>
                  </w:pPr>
                  <w:r>
                    <w:rPr>
                      <w:rFonts w:hint="eastAsia" w:ascii="宋体" w:hAnsi="宋体" w:cs="宋体"/>
                      <w:kern w:val="0"/>
                      <w:szCs w:val="21"/>
                    </w:rPr>
                    <w:t>丁基胶涂布机</w:t>
                  </w:r>
                </w:p>
              </w:tc>
              <w:tc>
                <w:tcPr>
                  <w:tcW w:w="1245" w:type="dxa"/>
                  <w:vAlign w:val="center"/>
                </w:tcPr>
                <w:p>
                  <w:pPr>
                    <w:snapToGrid w:val="0"/>
                    <w:spacing w:line="240" w:lineRule="atLeast"/>
                    <w:jc w:val="center"/>
                    <w:rPr>
                      <w:szCs w:val="21"/>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3</w:t>
                  </w:r>
                </w:p>
              </w:tc>
              <w:tc>
                <w:tcPr>
                  <w:tcW w:w="2018" w:type="dxa"/>
                  <w:vAlign w:val="center"/>
                </w:tcPr>
                <w:p>
                  <w:pPr>
                    <w:snapToGrid w:val="0"/>
                    <w:spacing w:line="240" w:lineRule="atLeast"/>
                    <w:jc w:val="center"/>
                    <w:rPr>
                      <w:szCs w:val="21"/>
                    </w:rPr>
                  </w:pPr>
                  <w:r>
                    <w:rPr>
                      <w:rFonts w:hint="eastAsia" w:ascii="宋体" w:hAnsi="宋体" w:cs="宋体"/>
                      <w:kern w:val="0"/>
                      <w:szCs w:val="21"/>
                    </w:rPr>
                    <w:t>丁基胶涂布机</w:t>
                  </w:r>
                </w:p>
              </w:tc>
              <w:tc>
                <w:tcPr>
                  <w:tcW w:w="975" w:type="dxa"/>
                  <w:vAlign w:val="center"/>
                </w:tcPr>
                <w:p>
                  <w:pPr>
                    <w:snapToGrid w:val="0"/>
                    <w:spacing w:line="240" w:lineRule="atLeast"/>
                    <w:jc w:val="center"/>
                    <w:rPr>
                      <w:szCs w:val="21"/>
                    </w:rPr>
                  </w:pPr>
                  <w:r>
                    <w:rPr>
                      <w:rFonts w:hint="eastAsia" w:ascii="宋体" w:hAnsi="宋体" w:cs="宋体"/>
                      <w:kern w:val="0"/>
                      <w:szCs w:val="21"/>
                    </w:rPr>
                    <w:t>台</w:t>
                  </w:r>
                </w:p>
              </w:tc>
              <w:tc>
                <w:tcPr>
                  <w:tcW w:w="1234" w:type="dxa"/>
                  <w:vAlign w:val="center"/>
                </w:tcPr>
                <w:p>
                  <w:pPr>
                    <w:jc w:val="center"/>
                    <w:rPr>
                      <w:szCs w:val="21"/>
                    </w:rPr>
                  </w:pPr>
                  <w:r>
                    <w:rPr>
                      <w:rFonts w:hint="eastAsia"/>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18</w:t>
                  </w:r>
                </w:p>
              </w:tc>
              <w:tc>
                <w:tcPr>
                  <w:tcW w:w="2010" w:type="dxa"/>
                  <w:vAlign w:val="center"/>
                </w:tcPr>
                <w:p>
                  <w:pPr>
                    <w:snapToGrid w:val="0"/>
                    <w:spacing w:line="240" w:lineRule="atLeast"/>
                    <w:jc w:val="center"/>
                    <w:rPr>
                      <w:szCs w:val="21"/>
                    </w:rPr>
                  </w:pPr>
                  <w:r>
                    <w:rPr>
                      <w:szCs w:val="21"/>
                    </w:rPr>
                    <w:t>高压釜</w:t>
                  </w:r>
                </w:p>
              </w:tc>
              <w:tc>
                <w:tcPr>
                  <w:tcW w:w="1245" w:type="dxa"/>
                  <w:vAlign w:val="center"/>
                </w:tcPr>
                <w:p>
                  <w:pPr>
                    <w:snapToGrid w:val="0"/>
                    <w:spacing w:line="240" w:lineRule="atLeast"/>
                    <w:jc w:val="center"/>
                    <w:rPr>
                      <w:szCs w:val="21"/>
                    </w:rPr>
                  </w:pPr>
                  <w:r>
                    <w:rPr>
                      <w:rFonts w:hint="eastAsia" w:ascii="宋体" w:hAnsi="宋体" w:cs="宋体"/>
                      <w:kern w:val="0"/>
                      <w:szCs w:val="21"/>
                    </w:rPr>
                    <w:t>台</w:t>
                  </w:r>
                </w:p>
              </w:tc>
              <w:tc>
                <w:tcPr>
                  <w:tcW w:w="1132" w:type="dxa"/>
                  <w:vAlign w:val="center"/>
                </w:tcPr>
                <w:p>
                  <w:pPr>
                    <w:jc w:val="center"/>
                    <w:rPr>
                      <w:szCs w:val="21"/>
                    </w:rPr>
                  </w:pPr>
                  <w:r>
                    <w:rPr>
                      <w:rFonts w:hint="eastAsia"/>
                      <w:color w:val="000000"/>
                      <w:szCs w:val="21"/>
                    </w:rPr>
                    <w:t>1</w:t>
                  </w:r>
                </w:p>
              </w:tc>
              <w:tc>
                <w:tcPr>
                  <w:tcW w:w="2018" w:type="dxa"/>
                  <w:vAlign w:val="center"/>
                </w:tcPr>
                <w:p>
                  <w:pPr>
                    <w:snapToGrid w:val="0"/>
                    <w:spacing w:line="240" w:lineRule="atLeast"/>
                    <w:jc w:val="center"/>
                    <w:rPr>
                      <w:szCs w:val="21"/>
                    </w:rPr>
                  </w:pPr>
                  <w:r>
                    <w:rPr>
                      <w:szCs w:val="21"/>
                    </w:rPr>
                    <w:t>高压釜</w:t>
                  </w:r>
                </w:p>
              </w:tc>
              <w:tc>
                <w:tcPr>
                  <w:tcW w:w="975" w:type="dxa"/>
                  <w:vAlign w:val="center"/>
                </w:tcPr>
                <w:p>
                  <w:pPr>
                    <w:snapToGrid w:val="0"/>
                    <w:spacing w:line="240" w:lineRule="atLeast"/>
                    <w:jc w:val="center"/>
                    <w:rPr>
                      <w:szCs w:val="21"/>
                    </w:rPr>
                  </w:pPr>
                  <w:r>
                    <w:rPr>
                      <w:rFonts w:hint="eastAsia" w:ascii="宋体" w:hAnsi="宋体" w:cs="宋体"/>
                      <w:kern w:val="0"/>
                      <w:szCs w:val="21"/>
                    </w:rPr>
                    <w:t>台</w:t>
                  </w:r>
                </w:p>
              </w:tc>
              <w:tc>
                <w:tcPr>
                  <w:tcW w:w="1234" w:type="dxa"/>
                  <w:vAlign w:val="center"/>
                </w:tcPr>
                <w:p>
                  <w:pPr>
                    <w:jc w:val="center"/>
                    <w:rPr>
                      <w:szCs w:val="21"/>
                    </w:rPr>
                  </w:pPr>
                  <w:r>
                    <w:rPr>
                      <w:rFonts w:hint="eastAsia"/>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adjustRightInd w:val="0"/>
                    <w:snapToGrid w:val="0"/>
                    <w:jc w:val="center"/>
                    <w:rPr>
                      <w:kern w:val="0"/>
                      <w:sz w:val="18"/>
                      <w:szCs w:val="18"/>
                    </w:rPr>
                  </w:pPr>
                  <w:r>
                    <w:rPr>
                      <w:rFonts w:hint="eastAsia"/>
                      <w:kern w:val="0"/>
                      <w:sz w:val="18"/>
                      <w:szCs w:val="18"/>
                    </w:rPr>
                    <w:t>19</w:t>
                  </w:r>
                </w:p>
              </w:tc>
              <w:tc>
                <w:tcPr>
                  <w:tcW w:w="2010" w:type="dxa"/>
                  <w:vAlign w:val="center"/>
                </w:tcPr>
                <w:p>
                  <w:pPr>
                    <w:jc w:val="center"/>
                    <w:rPr>
                      <w:szCs w:val="21"/>
                    </w:rPr>
                  </w:pPr>
                  <w:r>
                    <w:rPr>
                      <w:rFonts w:hint="eastAsia"/>
                      <w:szCs w:val="21"/>
                    </w:rPr>
                    <w:t>空气压缩机</w:t>
                  </w:r>
                </w:p>
              </w:tc>
              <w:tc>
                <w:tcPr>
                  <w:tcW w:w="1245" w:type="dxa"/>
                  <w:vAlign w:val="center"/>
                </w:tcPr>
                <w:p>
                  <w:pPr>
                    <w:jc w:val="center"/>
                    <w:rPr>
                      <w:szCs w:val="21"/>
                    </w:rPr>
                  </w:pPr>
                  <w:r>
                    <w:rPr>
                      <w:rFonts w:hint="eastAsia"/>
                      <w:szCs w:val="21"/>
                    </w:rPr>
                    <w:t>台</w:t>
                  </w:r>
                </w:p>
              </w:tc>
              <w:tc>
                <w:tcPr>
                  <w:tcW w:w="1132" w:type="dxa"/>
                  <w:vAlign w:val="center"/>
                </w:tcPr>
                <w:p>
                  <w:pPr>
                    <w:jc w:val="center"/>
                    <w:rPr>
                      <w:szCs w:val="21"/>
                    </w:rPr>
                  </w:pPr>
                  <w:r>
                    <w:rPr>
                      <w:rFonts w:hint="eastAsia"/>
                      <w:szCs w:val="21"/>
                    </w:rPr>
                    <w:t>1</w:t>
                  </w:r>
                </w:p>
              </w:tc>
              <w:tc>
                <w:tcPr>
                  <w:tcW w:w="2018" w:type="dxa"/>
                  <w:vAlign w:val="center"/>
                </w:tcPr>
                <w:p>
                  <w:pPr>
                    <w:jc w:val="center"/>
                    <w:rPr>
                      <w:szCs w:val="21"/>
                    </w:rPr>
                  </w:pPr>
                  <w:r>
                    <w:rPr>
                      <w:rFonts w:hint="eastAsia"/>
                      <w:szCs w:val="21"/>
                    </w:rPr>
                    <w:t>空气压缩机</w:t>
                  </w:r>
                </w:p>
              </w:tc>
              <w:tc>
                <w:tcPr>
                  <w:tcW w:w="975" w:type="dxa"/>
                  <w:vAlign w:val="center"/>
                </w:tcPr>
                <w:p>
                  <w:pPr>
                    <w:jc w:val="center"/>
                    <w:rPr>
                      <w:szCs w:val="21"/>
                    </w:rPr>
                  </w:pPr>
                  <w:r>
                    <w:rPr>
                      <w:rFonts w:hint="eastAsia"/>
                      <w:szCs w:val="21"/>
                    </w:rPr>
                    <w:t>台</w:t>
                  </w:r>
                </w:p>
              </w:tc>
              <w:tc>
                <w:tcPr>
                  <w:tcW w:w="1234" w:type="dxa"/>
                  <w:vAlign w:val="center"/>
                </w:tcPr>
                <w:p>
                  <w:pPr>
                    <w:jc w:val="center"/>
                    <w:rPr>
                      <w:szCs w:val="21"/>
                    </w:rPr>
                  </w:pPr>
                  <w:r>
                    <w:rPr>
                      <w:rFonts w:hint="eastAsia"/>
                      <w:szCs w:val="21"/>
                    </w:rPr>
                    <w:t>1</w:t>
                  </w:r>
                </w:p>
              </w:tc>
            </w:tr>
          </w:tbl>
          <w:p>
            <w:pPr>
              <w:spacing w:before="156" w:beforeLines="50" w:line="360" w:lineRule="auto"/>
              <w:jc w:val="left"/>
              <w:rPr>
                <w:b/>
                <w:sz w:val="28"/>
                <w:szCs w:val="28"/>
              </w:rPr>
            </w:pPr>
            <w:r>
              <w:rPr>
                <w:b/>
                <w:sz w:val="28"/>
                <w:szCs w:val="28"/>
              </w:rPr>
              <w:t>2.3</w:t>
            </w:r>
            <w:r>
              <w:rPr>
                <w:rFonts w:hint="eastAsia"/>
                <w:b/>
                <w:sz w:val="28"/>
                <w:szCs w:val="28"/>
              </w:rPr>
              <w:t>原辅材料、能源</w:t>
            </w:r>
            <w:r>
              <w:rPr>
                <w:b/>
                <w:sz w:val="28"/>
                <w:szCs w:val="28"/>
              </w:rPr>
              <w:t>消耗及水平衡</w:t>
            </w:r>
          </w:p>
          <w:p>
            <w:pPr>
              <w:pStyle w:val="12"/>
              <w:spacing w:after="0" w:line="360" w:lineRule="auto"/>
              <w:ind w:left="0" w:leftChars="0" w:firstLine="482"/>
              <w:rPr>
                <w:sz w:val="24"/>
              </w:rPr>
            </w:pPr>
            <w:r>
              <w:rPr>
                <w:rFonts w:hint="eastAsia"/>
                <w:b/>
                <w:bCs/>
                <w:sz w:val="24"/>
              </w:rPr>
              <w:t>主要原辅材料及能源消耗</w:t>
            </w:r>
            <w:r>
              <w:rPr>
                <w:rFonts w:hint="eastAsia"/>
                <w:sz w:val="24"/>
              </w:rPr>
              <w:t>：</w:t>
            </w:r>
          </w:p>
          <w:p>
            <w:pPr>
              <w:pStyle w:val="12"/>
              <w:spacing w:after="0" w:line="360" w:lineRule="auto"/>
              <w:ind w:left="0" w:leftChars="0" w:firstLine="480"/>
              <w:rPr>
                <w:sz w:val="24"/>
              </w:rPr>
            </w:pPr>
            <w:r>
              <w:rPr>
                <w:rFonts w:hint="eastAsia"/>
                <w:sz w:val="24"/>
              </w:rPr>
              <w:t>本项目</w:t>
            </w:r>
            <w:r>
              <w:rPr>
                <w:sz w:val="24"/>
              </w:rPr>
              <w:t>主要原辅材料</w:t>
            </w:r>
            <w:r>
              <w:rPr>
                <w:rFonts w:hint="eastAsia"/>
                <w:sz w:val="24"/>
              </w:rPr>
              <w:t>及能源</w:t>
            </w:r>
            <w:r>
              <w:rPr>
                <w:sz w:val="24"/>
              </w:rPr>
              <w:t>消耗，见表2-4。</w:t>
            </w:r>
          </w:p>
          <w:p>
            <w:pPr>
              <w:tabs>
                <w:tab w:val="center" w:pos="4765"/>
                <w:tab w:val="left" w:pos="6420"/>
              </w:tabs>
              <w:adjustRightInd w:val="0"/>
              <w:snapToGrid w:val="0"/>
              <w:spacing w:line="360" w:lineRule="auto"/>
              <w:jc w:val="center"/>
            </w:pPr>
            <w:r>
              <w:rPr>
                <w:b/>
                <w:szCs w:val="21"/>
              </w:rPr>
              <w:t xml:space="preserve">表2-4  </w:t>
            </w:r>
            <w:r>
              <w:rPr>
                <w:rFonts w:hint="eastAsia"/>
                <w:b/>
                <w:szCs w:val="21"/>
              </w:rPr>
              <w:t>主要原辅材料及</w:t>
            </w:r>
            <w:r>
              <w:rPr>
                <w:b/>
                <w:szCs w:val="21"/>
              </w:rPr>
              <w:t>能源消耗一览表</w:t>
            </w:r>
          </w:p>
          <w:tbl>
            <w:tblPr>
              <w:tblStyle w:val="23"/>
              <w:tblW w:w="4934" w:type="pct"/>
              <w:jc w:val="center"/>
              <w:tblLayout w:type="fixed"/>
              <w:tblCellMar>
                <w:top w:w="0" w:type="dxa"/>
                <w:left w:w="108" w:type="dxa"/>
                <w:bottom w:w="0" w:type="dxa"/>
                <w:right w:w="108" w:type="dxa"/>
              </w:tblCellMar>
            </w:tblPr>
            <w:tblGrid>
              <w:gridCol w:w="663"/>
              <w:gridCol w:w="2163"/>
              <w:gridCol w:w="1770"/>
              <w:gridCol w:w="2658"/>
              <w:gridCol w:w="2044"/>
            </w:tblGrid>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hAnsi="宋体"/>
                      <w:szCs w:val="21"/>
                    </w:rPr>
                    <w:t>序号</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hAnsi="宋体"/>
                      <w:szCs w:val="21"/>
                    </w:rPr>
                    <w:t>原辅料名称</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规格</w:t>
                  </w:r>
                </w:p>
              </w:tc>
              <w:tc>
                <w:tcPr>
                  <w:tcW w:w="1428" w:type="pct"/>
                  <w:tcBorders>
                    <w:top w:val="single" w:color="auto" w:sz="4" w:space="0"/>
                    <w:left w:val="nil"/>
                    <w:bottom w:val="single" w:color="auto" w:sz="4" w:space="0"/>
                    <w:right w:val="single" w:color="auto" w:sz="4" w:space="0"/>
                  </w:tcBorders>
                  <w:vAlign w:val="center"/>
                </w:tcPr>
                <w:p>
                  <w:pPr>
                    <w:jc w:val="center"/>
                    <w:rPr>
                      <w:szCs w:val="21"/>
                    </w:rPr>
                  </w:pPr>
                  <w:r>
                    <w:rPr>
                      <w:rFonts w:hint="eastAsia" w:hAnsi="宋体"/>
                      <w:szCs w:val="21"/>
                    </w:rPr>
                    <w:t>环评年消耗量</w:t>
                  </w:r>
                  <w:r>
                    <w:rPr>
                      <w:szCs w:val="21"/>
                    </w:rPr>
                    <w:t>/吨</w:t>
                  </w:r>
                </w:p>
              </w:tc>
              <w:tc>
                <w:tcPr>
                  <w:tcW w:w="1099" w:type="pct"/>
                  <w:tcBorders>
                    <w:top w:val="single" w:color="auto" w:sz="4" w:space="0"/>
                    <w:left w:val="nil"/>
                    <w:bottom w:val="single" w:color="auto" w:sz="4" w:space="0"/>
                    <w:right w:val="single" w:color="auto" w:sz="4" w:space="0"/>
                  </w:tcBorders>
                  <w:vAlign w:val="center"/>
                </w:tcPr>
                <w:p>
                  <w:pPr>
                    <w:jc w:val="center"/>
                    <w:rPr>
                      <w:rFonts w:hAnsi="宋体"/>
                      <w:szCs w:val="21"/>
                    </w:rPr>
                  </w:pPr>
                  <w:r>
                    <w:rPr>
                      <w:rFonts w:hint="eastAsia" w:hAnsi="宋体"/>
                      <w:szCs w:val="21"/>
                    </w:rPr>
                    <w:t>实际年消耗量</w:t>
                  </w:r>
                  <w:r>
                    <w:rPr>
                      <w:szCs w:val="21"/>
                    </w:rPr>
                    <w:t>/吨</w:t>
                  </w:r>
                </w:p>
              </w:tc>
            </w:tr>
            <w:tr>
              <w:tblPrEx>
                <w:tblCellMar>
                  <w:top w:w="0" w:type="dxa"/>
                  <w:left w:w="108" w:type="dxa"/>
                  <w:bottom w:w="0" w:type="dxa"/>
                  <w:right w:w="108" w:type="dxa"/>
                </w:tblCellMar>
              </w:tblPrEx>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镀膜玻璃</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5-19</w:t>
                  </w:r>
                </w:p>
              </w:tc>
              <w:tc>
                <w:tcPr>
                  <w:tcW w:w="1428" w:type="pct"/>
                  <w:vMerge w:val="restart"/>
                  <w:tcBorders>
                    <w:top w:val="single" w:color="auto" w:sz="4" w:space="0"/>
                    <w:left w:val="nil"/>
                    <w:right w:val="single" w:color="auto" w:sz="4" w:space="0"/>
                  </w:tcBorders>
                  <w:vAlign w:val="center"/>
                </w:tcPr>
                <w:p>
                  <w:pPr>
                    <w:jc w:val="center"/>
                    <w:rPr>
                      <w:szCs w:val="21"/>
                    </w:rPr>
                  </w:pPr>
                  <w:r>
                    <w:rPr>
                      <w:rFonts w:hint="eastAsia"/>
                      <w:szCs w:val="21"/>
                    </w:rPr>
                    <w:t>200万平方米</w:t>
                  </w:r>
                </w:p>
              </w:tc>
              <w:tc>
                <w:tcPr>
                  <w:tcW w:w="2045" w:type="dxa"/>
                  <w:vMerge w:val="restart"/>
                  <w:tcBorders>
                    <w:top w:val="single" w:color="auto" w:sz="4" w:space="0"/>
                    <w:left w:val="nil"/>
                    <w:right w:val="single" w:color="auto" w:sz="4" w:space="0"/>
                  </w:tcBorders>
                  <w:vAlign w:val="center"/>
                </w:tcPr>
                <w:p>
                  <w:pPr>
                    <w:jc w:val="center"/>
                    <w:rPr>
                      <w:rFonts w:hAnsi="宋体"/>
                      <w:szCs w:val="21"/>
                    </w:rPr>
                  </w:pPr>
                  <w:r>
                    <w:rPr>
                      <w:rFonts w:hint="eastAsia"/>
                      <w:szCs w:val="21"/>
                    </w:rPr>
                    <w:t>200万平方米</w:t>
                  </w:r>
                </w:p>
              </w:tc>
            </w:tr>
            <w:tr>
              <w:tblPrEx>
                <w:tblCellMar>
                  <w:top w:w="0" w:type="dxa"/>
                  <w:left w:w="108" w:type="dxa"/>
                  <w:bottom w:w="0" w:type="dxa"/>
                  <w:right w:w="108" w:type="dxa"/>
                </w:tblCellMar>
              </w:tblPrEx>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白玻璃</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5-19</w:t>
                  </w:r>
                </w:p>
              </w:tc>
              <w:tc>
                <w:tcPr>
                  <w:tcW w:w="1428" w:type="pct"/>
                  <w:vMerge w:val="continue"/>
                  <w:tcBorders>
                    <w:left w:val="nil"/>
                    <w:bottom w:val="single" w:color="auto" w:sz="4" w:space="0"/>
                    <w:right w:val="single" w:color="auto" w:sz="4" w:space="0"/>
                  </w:tcBorders>
                </w:tcPr>
                <w:p>
                  <w:pPr>
                    <w:widowControl/>
                    <w:adjustRightInd w:val="0"/>
                    <w:snapToGrid w:val="0"/>
                    <w:jc w:val="center"/>
                    <w:rPr>
                      <w:kern w:val="0"/>
                      <w:szCs w:val="21"/>
                    </w:rPr>
                  </w:pPr>
                </w:p>
              </w:tc>
              <w:tc>
                <w:tcPr>
                  <w:tcW w:w="1099" w:type="pct"/>
                  <w:vMerge w:val="continue"/>
                  <w:tcBorders>
                    <w:left w:val="nil"/>
                    <w:bottom w:val="single" w:color="auto" w:sz="4" w:space="0"/>
                    <w:right w:val="single" w:color="auto" w:sz="4" w:space="0"/>
                  </w:tcBorders>
                </w:tcPr>
                <w:p>
                  <w:pPr>
                    <w:widowControl/>
                    <w:adjustRightInd w:val="0"/>
                    <w:snapToGrid w:val="0"/>
                    <w:jc w:val="center"/>
                    <w:rPr>
                      <w:rFonts w:hAnsi="宋体"/>
                      <w:szCs w:val="21"/>
                    </w:rPr>
                  </w:pPr>
                </w:p>
              </w:tc>
            </w:tr>
            <w:tr>
              <w:tblPrEx>
                <w:tblCellMar>
                  <w:top w:w="0" w:type="dxa"/>
                  <w:left w:w="108" w:type="dxa"/>
                  <w:bottom w:w="0" w:type="dxa"/>
                  <w:right w:w="108" w:type="dxa"/>
                </w:tblCellMar>
              </w:tblPrEx>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kern w:val="0"/>
                      <w:szCs w:val="21"/>
                    </w:rPr>
                    <w:t>硅酮胶</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209L</w:t>
                  </w:r>
                </w:p>
              </w:tc>
              <w:tc>
                <w:tcPr>
                  <w:tcW w:w="1428" w:type="pct"/>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szCs w:val="21"/>
                    </w:rPr>
                    <w:t>75吨</w:t>
                  </w:r>
                </w:p>
              </w:tc>
              <w:tc>
                <w:tcPr>
                  <w:tcW w:w="2045" w:type="dxa"/>
                  <w:tcBorders>
                    <w:top w:val="single" w:color="auto" w:sz="4" w:space="0"/>
                    <w:left w:val="nil"/>
                    <w:bottom w:val="single" w:color="auto" w:sz="4" w:space="0"/>
                    <w:right w:val="single" w:color="auto" w:sz="4" w:space="0"/>
                  </w:tcBorders>
                  <w:vAlign w:val="center"/>
                </w:tcPr>
                <w:p>
                  <w:pPr>
                    <w:jc w:val="center"/>
                    <w:rPr>
                      <w:rFonts w:hAnsi="宋体"/>
                      <w:szCs w:val="21"/>
                    </w:rPr>
                  </w:pPr>
                  <w:r>
                    <w:rPr>
                      <w:rFonts w:hint="eastAsia"/>
                      <w:szCs w:val="21"/>
                    </w:rPr>
                    <w:t>75吨</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丁基胶</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7KG</w:t>
                  </w:r>
                </w:p>
              </w:tc>
              <w:tc>
                <w:tcPr>
                  <w:tcW w:w="1428" w:type="pct"/>
                  <w:tcBorders>
                    <w:top w:val="single" w:color="auto" w:sz="4" w:space="0"/>
                    <w:left w:val="nil"/>
                    <w:bottom w:val="single" w:color="auto" w:sz="4" w:space="0"/>
                    <w:right w:val="single" w:color="auto" w:sz="4" w:space="0"/>
                  </w:tcBorders>
                  <w:vAlign w:val="center"/>
                </w:tcPr>
                <w:p>
                  <w:pPr>
                    <w:jc w:val="center"/>
                    <w:rPr>
                      <w:kern w:val="0"/>
                      <w:szCs w:val="21"/>
                    </w:rPr>
                  </w:pPr>
                  <w:r>
                    <w:rPr>
                      <w:rFonts w:hint="eastAsia"/>
                      <w:szCs w:val="21"/>
                    </w:rPr>
                    <w:t>3.5吨</w:t>
                  </w:r>
                </w:p>
              </w:tc>
              <w:tc>
                <w:tcPr>
                  <w:tcW w:w="2045" w:type="dxa"/>
                  <w:tcBorders>
                    <w:top w:val="single" w:color="auto" w:sz="4" w:space="0"/>
                    <w:left w:val="nil"/>
                    <w:bottom w:val="single" w:color="auto" w:sz="4" w:space="0"/>
                    <w:right w:val="single" w:color="auto" w:sz="4" w:space="0"/>
                  </w:tcBorders>
                  <w:vAlign w:val="center"/>
                </w:tcPr>
                <w:p>
                  <w:pPr>
                    <w:jc w:val="center"/>
                    <w:rPr>
                      <w:rFonts w:hAnsi="宋体"/>
                      <w:szCs w:val="21"/>
                    </w:rPr>
                  </w:pPr>
                  <w:r>
                    <w:rPr>
                      <w:rFonts w:hint="eastAsia"/>
                      <w:szCs w:val="21"/>
                    </w:rPr>
                    <w:t>3.5吨</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3A分子筛</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05-1.5</w:t>
                  </w:r>
                </w:p>
              </w:tc>
              <w:tc>
                <w:tcPr>
                  <w:tcW w:w="1428"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50吨</w:t>
                  </w:r>
                </w:p>
              </w:tc>
              <w:tc>
                <w:tcPr>
                  <w:tcW w:w="2045"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50吨</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szCs w:val="21"/>
                    </w:rPr>
                    <w:t>PVB胶片</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0.38-1.14</w:t>
                  </w:r>
                </w:p>
              </w:tc>
              <w:tc>
                <w:tcPr>
                  <w:tcW w:w="1428"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15吨</w:t>
                  </w:r>
                </w:p>
              </w:tc>
              <w:tc>
                <w:tcPr>
                  <w:tcW w:w="2045"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15吨</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间隔条</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w:t>
                  </w:r>
                </w:p>
              </w:tc>
              <w:tc>
                <w:tcPr>
                  <w:tcW w:w="1428"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200万米</w:t>
                  </w:r>
                </w:p>
              </w:tc>
              <w:tc>
                <w:tcPr>
                  <w:tcW w:w="2045"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200万米</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内置百叶</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w:t>
                  </w:r>
                </w:p>
              </w:tc>
              <w:tc>
                <w:tcPr>
                  <w:tcW w:w="1428"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12万米</w:t>
                  </w:r>
                </w:p>
              </w:tc>
              <w:tc>
                <w:tcPr>
                  <w:tcW w:w="2045"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12万米</w:t>
                  </w:r>
                </w:p>
              </w:tc>
            </w:tr>
            <w:tr>
              <w:tblPrEx>
                <w:tblCellMar>
                  <w:top w:w="0" w:type="dxa"/>
                  <w:left w:w="108" w:type="dxa"/>
                  <w:bottom w:w="0" w:type="dxa"/>
                  <w:right w:w="108" w:type="dxa"/>
                </w:tblCellMar>
              </w:tblPrEx>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9</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供水</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w:t>
                  </w:r>
                </w:p>
              </w:tc>
              <w:tc>
                <w:tcPr>
                  <w:tcW w:w="1428" w:type="pct"/>
                  <w:tcBorders>
                    <w:top w:val="single" w:color="auto" w:sz="4" w:space="0"/>
                    <w:left w:val="nil"/>
                    <w:bottom w:val="single" w:color="auto" w:sz="4" w:space="0"/>
                    <w:right w:val="single" w:color="auto" w:sz="4" w:space="0"/>
                  </w:tcBorders>
                  <w:vAlign w:val="center"/>
                </w:tcPr>
                <w:p>
                  <w:pPr>
                    <w:spacing w:line="360" w:lineRule="auto"/>
                    <w:contextualSpacing/>
                    <w:jc w:val="center"/>
                    <w:rPr>
                      <w:szCs w:val="21"/>
                    </w:rPr>
                  </w:pPr>
                  <w:r>
                    <w:rPr>
                      <w:rFonts w:hint="eastAsia"/>
                      <w:szCs w:val="21"/>
                    </w:rPr>
                    <w:t>2311</w:t>
                  </w:r>
                  <w:r>
                    <w:rPr>
                      <w:szCs w:val="21"/>
                    </w:rPr>
                    <w:t>吨/年</w:t>
                  </w:r>
                </w:p>
              </w:tc>
              <w:tc>
                <w:tcPr>
                  <w:tcW w:w="2045" w:type="dxa"/>
                  <w:tcBorders>
                    <w:top w:val="single" w:color="auto" w:sz="4" w:space="0"/>
                    <w:left w:val="nil"/>
                    <w:bottom w:val="single" w:color="auto" w:sz="4" w:space="0"/>
                    <w:right w:val="single" w:color="auto" w:sz="4" w:space="0"/>
                  </w:tcBorders>
                  <w:vAlign w:val="center"/>
                </w:tcPr>
                <w:p>
                  <w:pPr>
                    <w:spacing w:line="360" w:lineRule="auto"/>
                    <w:contextualSpacing/>
                    <w:jc w:val="center"/>
                    <w:rPr>
                      <w:szCs w:val="21"/>
                    </w:rPr>
                  </w:pPr>
                  <w:r>
                    <w:rPr>
                      <w:rFonts w:hint="eastAsia"/>
                      <w:szCs w:val="21"/>
                    </w:rPr>
                    <w:t>2311</w:t>
                  </w:r>
                  <w:r>
                    <w:rPr>
                      <w:szCs w:val="21"/>
                    </w:rPr>
                    <w:t>吨/年</w:t>
                  </w:r>
                </w:p>
              </w:tc>
            </w:tr>
            <w:tr>
              <w:trPr>
                <w:trHeight w:val="426" w:hRule="atLeast"/>
                <w:jc w:val="center"/>
              </w:trPr>
              <w:tc>
                <w:tcPr>
                  <w:tcW w:w="3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10</w:t>
                  </w:r>
                </w:p>
              </w:tc>
              <w:tc>
                <w:tcPr>
                  <w:tcW w:w="1163"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供电</w:t>
                  </w:r>
                </w:p>
              </w:tc>
              <w:tc>
                <w:tcPr>
                  <w:tcW w:w="952"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w:t>
                  </w:r>
                </w:p>
              </w:tc>
              <w:tc>
                <w:tcPr>
                  <w:tcW w:w="1428" w:type="pct"/>
                  <w:tcBorders>
                    <w:top w:val="single" w:color="auto" w:sz="4" w:space="0"/>
                    <w:left w:val="nil"/>
                    <w:bottom w:val="single" w:color="auto" w:sz="4" w:space="0"/>
                    <w:right w:val="single" w:color="auto" w:sz="4" w:space="0"/>
                  </w:tcBorders>
                  <w:vAlign w:val="center"/>
                </w:tcPr>
                <w:p>
                  <w:pPr>
                    <w:spacing w:line="360" w:lineRule="auto"/>
                    <w:contextualSpacing/>
                    <w:jc w:val="center"/>
                    <w:rPr>
                      <w:szCs w:val="21"/>
                    </w:rPr>
                  </w:pPr>
                  <w:r>
                    <w:rPr>
                      <w:rFonts w:hint="eastAsia"/>
                      <w:szCs w:val="21"/>
                    </w:rPr>
                    <w:t>220</w:t>
                  </w:r>
                  <w:r>
                    <w:rPr>
                      <w:szCs w:val="21"/>
                    </w:rPr>
                    <w:t>万度/年</w:t>
                  </w:r>
                </w:p>
              </w:tc>
              <w:tc>
                <w:tcPr>
                  <w:tcW w:w="2045" w:type="dxa"/>
                  <w:tcBorders>
                    <w:top w:val="single" w:color="auto" w:sz="4" w:space="0"/>
                    <w:left w:val="nil"/>
                    <w:bottom w:val="single" w:color="auto" w:sz="4" w:space="0"/>
                    <w:right w:val="single" w:color="auto" w:sz="4" w:space="0"/>
                  </w:tcBorders>
                  <w:vAlign w:val="center"/>
                </w:tcPr>
                <w:p>
                  <w:pPr>
                    <w:spacing w:line="360" w:lineRule="auto"/>
                    <w:contextualSpacing/>
                    <w:jc w:val="center"/>
                    <w:rPr>
                      <w:szCs w:val="21"/>
                    </w:rPr>
                  </w:pPr>
                  <w:r>
                    <w:rPr>
                      <w:rFonts w:hint="eastAsia"/>
                      <w:szCs w:val="21"/>
                    </w:rPr>
                    <w:t>220</w:t>
                  </w:r>
                  <w:r>
                    <w:rPr>
                      <w:szCs w:val="21"/>
                    </w:rPr>
                    <w:t>万度/年</w:t>
                  </w:r>
                </w:p>
              </w:tc>
            </w:tr>
          </w:tbl>
          <w:p>
            <w:pPr>
              <w:ind w:firstLine="422" w:firstLineChars="200"/>
              <w:jc w:val="left"/>
              <w:rPr>
                <w:kern w:val="0"/>
                <w:szCs w:val="21"/>
              </w:rPr>
            </w:pPr>
            <w:r>
              <w:rPr>
                <w:rFonts w:hint="eastAsia"/>
                <w:b/>
                <w:bCs/>
                <w:kern w:val="0"/>
                <w:szCs w:val="21"/>
              </w:rPr>
              <w:t>注：</w:t>
            </w:r>
            <w:r>
              <w:rPr>
                <w:rFonts w:ascii="宋体" w:hAnsi="宋体" w:cs="宋体"/>
                <w:szCs w:val="21"/>
              </w:rPr>
              <w:t>分子筛，一种具有立方品格的硅铝酸盐化合物，粉末状晶体，其有均匀的微孔结孔穴直径大小均匀，这些孔穴能把比其直径小的分子吸附到孔腔的内部，并对极性分子和不饱和分子其有优先吸附能力，用于中空玻璃夹层气体中水分和气体的吸附，避免玻璃结雾，使中空玻璃即使在低温度下仍然保持光洁透明，提中空玻璃保温隔音性能，充分延长中空玻璃的使用寿命。</w:t>
            </w:r>
          </w:p>
          <w:p>
            <w:pPr>
              <w:pStyle w:val="12"/>
              <w:spacing w:before="62" w:beforeLines="20" w:after="0" w:line="360" w:lineRule="auto"/>
              <w:ind w:left="0" w:leftChars="0" w:firstLine="482"/>
              <w:rPr>
                <w:sz w:val="24"/>
              </w:rPr>
            </w:pPr>
            <w:r>
              <w:rPr>
                <w:rFonts w:hint="eastAsia"/>
                <w:b/>
                <w:bCs/>
                <w:sz w:val="24"/>
              </w:rPr>
              <w:t>水平衡分析</w:t>
            </w:r>
            <w:r>
              <w:rPr>
                <w:rFonts w:hint="eastAsia"/>
                <w:sz w:val="24"/>
              </w:rPr>
              <w:t>：</w:t>
            </w:r>
          </w:p>
          <w:p>
            <w:pPr>
              <w:adjustRightInd w:val="0"/>
              <w:snapToGrid w:val="0"/>
              <w:spacing w:line="360" w:lineRule="auto"/>
              <w:ind w:firstLine="472" w:firstLineChars="200"/>
              <w:rPr>
                <w:sz w:val="24"/>
                <w:szCs w:val="28"/>
              </w:rPr>
            </w:pPr>
            <w:r>
              <w:rPr>
                <w:rFonts w:hint="eastAsia"/>
                <w:spacing w:val="-2"/>
                <w:sz w:val="24"/>
              </w:rPr>
              <w:t>本项目所产生的废水主要为</w:t>
            </w:r>
            <w:r>
              <w:rPr>
                <w:rFonts w:hint="eastAsia"/>
                <w:color w:val="000000"/>
                <w:sz w:val="24"/>
              </w:rPr>
              <w:t>职工生活污水、玻璃清洗废水、磨边废水、食堂废水</w:t>
            </w:r>
            <w:r>
              <w:rPr>
                <w:rFonts w:hint="eastAsia"/>
                <w:sz w:val="24"/>
                <w:szCs w:val="28"/>
              </w:rPr>
              <w:t>。</w:t>
            </w:r>
          </w:p>
          <w:p>
            <w:pPr>
              <w:spacing w:line="360" w:lineRule="auto"/>
              <w:ind w:firstLine="482" w:firstLineChars="200"/>
              <w:rPr>
                <w:b/>
                <w:bCs/>
                <w:sz w:val="24"/>
              </w:rPr>
            </w:pPr>
            <w:r>
              <w:rPr>
                <w:b/>
                <w:bCs/>
                <w:sz w:val="24"/>
              </w:rPr>
              <w:t>1、</w:t>
            </w:r>
            <w:r>
              <w:rPr>
                <w:rFonts w:hint="eastAsia"/>
                <w:b/>
                <w:bCs/>
                <w:sz w:val="24"/>
              </w:rPr>
              <w:t>职工</w:t>
            </w:r>
            <w:r>
              <w:rPr>
                <w:b/>
                <w:bCs/>
                <w:sz w:val="24"/>
              </w:rPr>
              <w:t>生活用水</w:t>
            </w:r>
          </w:p>
          <w:p>
            <w:pPr>
              <w:spacing w:line="360" w:lineRule="auto"/>
              <w:ind w:firstLine="480" w:firstLineChars="200"/>
              <w:rPr>
                <w:sz w:val="24"/>
              </w:rPr>
            </w:pPr>
            <w:r>
              <w:rPr>
                <w:sz w:val="24"/>
              </w:rPr>
              <w:t>项目员工定额为</w:t>
            </w:r>
            <w:r>
              <w:rPr>
                <w:rFonts w:hint="eastAsia"/>
                <w:sz w:val="24"/>
              </w:rPr>
              <w:t>1</w:t>
            </w:r>
            <w:r>
              <w:rPr>
                <w:sz w:val="24"/>
              </w:rPr>
              <w:t>20人，厂区内无住宿，根据《建筑给水排水设计规范（2009年版）》（GB50015-2003），在班职工生活用水以50L/（人·d）计，则生活用水量为</w:t>
            </w:r>
            <w:r>
              <w:rPr>
                <w:rFonts w:hint="eastAsia"/>
                <w:sz w:val="24"/>
              </w:rPr>
              <w:t>6</w:t>
            </w:r>
            <w:r>
              <w:rPr>
                <w:sz w:val="24"/>
              </w:rPr>
              <w:t>m</w:t>
            </w:r>
            <w:r>
              <w:rPr>
                <w:sz w:val="24"/>
                <w:vertAlign w:val="superscript"/>
              </w:rPr>
              <w:t>3</w:t>
            </w:r>
            <w:r>
              <w:rPr>
                <w:sz w:val="24"/>
              </w:rPr>
              <w:t>/d，</w:t>
            </w:r>
            <w:r>
              <w:rPr>
                <w:rFonts w:hint="eastAsia"/>
                <w:sz w:val="24"/>
              </w:rPr>
              <w:t>1800</w:t>
            </w:r>
            <w:r>
              <w:rPr>
                <w:sz w:val="24"/>
              </w:rPr>
              <w:t>m</w:t>
            </w:r>
            <w:r>
              <w:rPr>
                <w:sz w:val="24"/>
                <w:vertAlign w:val="superscript"/>
              </w:rPr>
              <w:t>3</w:t>
            </w:r>
            <w:r>
              <w:rPr>
                <w:sz w:val="24"/>
              </w:rPr>
              <w:t>/a（一年按300天计算），排放系数按80%计，则污水量为</w:t>
            </w:r>
            <w:r>
              <w:rPr>
                <w:rFonts w:hint="eastAsia"/>
                <w:sz w:val="24"/>
              </w:rPr>
              <w:t>4.8</w:t>
            </w:r>
            <w:r>
              <w:rPr>
                <w:sz w:val="24"/>
              </w:rPr>
              <w:t>m</w:t>
            </w:r>
            <w:r>
              <w:rPr>
                <w:sz w:val="24"/>
                <w:vertAlign w:val="superscript"/>
              </w:rPr>
              <w:t>3</w:t>
            </w:r>
            <w:r>
              <w:rPr>
                <w:sz w:val="24"/>
              </w:rPr>
              <w:t>/d，</w:t>
            </w:r>
            <w:r>
              <w:rPr>
                <w:rFonts w:hint="eastAsia"/>
                <w:sz w:val="24"/>
              </w:rPr>
              <w:t>1440</w:t>
            </w:r>
            <w:r>
              <w:rPr>
                <w:sz w:val="24"/>
              </w:rPr>
              <w:t>m</w:t>
            </w:r>
            <w:r>
              <w:rPr>
                <w:sz w:val="24"/>
                <w:vertAlign w:val="superscript"/>
              </w:rPr>
              <w:t>3</w:t>
            </w:r>
            <w:r>
              <w:rPr>
                <w:sz w:val="24"/>
              </w:rPr>
              <w:t>/a。</w:t>
            </w:r>
          </w:p>
          <w:p>
            <w:pPr>
              <w:spacing w:line="360" w:lineRule="auto"/>
              <w:ind w:firstLine="482" w:firstLineChars="200"/>
            </w:pPr>
            <w:r>
              <w:rPr>
                <w:b/>
                <w:sz w:val="24"/>
              </w:rPr>
              <w:t>2、</w:t>
            </w:r>
            <w:r>
              <w:rPr>
                <w:rFonts w:hint="eastAsia"/>
                <w:b/>
                <w:sz w:val="24"/>
              </w:rPr>
              <w:t>玻璃清洗</w:t>
            </w:r>
            <w:r>
              <w:rPr>
                <w:b/>
                <w:sz w:val="24"/>
              </w:rPr>
              <w:t>用水</w:t>
            </w:r>
          </w:p>
          <w:p>
            <w:pPr>
              <w:spacing w:line="360" w:lineRule="auto"/>
              <w:ind w:firstLine="480" w:firstLineChars="200"/>
              <w:contextualSpacing/>
              <w:rPr>
                <w:color w:val="000000"/>
                <w:sz w:val="24"/>
              </w:rPr>
            </w:pPr>
            <w:r>
              <w:rPr>
                <w:rFonts w:hint="eastAsia"/>
                <w:color w:val="000000"/>
                <w:sz w:val="24"/>
              </w:rPr>
              <w:t>根据本项目生产需要，玻璃需使用水进行简单物理清洗，主要为去除玻璃表面沾附的粉尘杂质；清洗过程不需要添加其他清洗剂等，清洗废水</w:t>
            </w:r>
            <w:r>
              <w:rPr>
                <w:rFonts w:hint="eastAsia"/>
                <w:sz w:val="24"/>
              </w:rPr>
              <w:t>进入沉淀池</w:t>
            </w:r>
            <w:r>
              <w:rPr>
                <w:rFonts w:hint="eastAsia"/>
              </w:rPr>
              <w:t>（12m*1.5m*1m）</w:t>
            </w:r>
            <w:r>
              <w:rPr>
                <w:rFonts w:hint="eastAsia"/>
                <w:sz w:val="24"/>
              </w:rPr>
              <w:t>沉</w:t>
            </w:r>
            <w:r>
              <w:rPr>
                <w:rFonts w:hint="eastAsia"/>
                <w:color w:val="000000"/>
                <w:sz w:val="24"/>
              </w:rPr>
              <w:t>淀后回用。根据企业生产经验，清洗过程中用水量约10m</w:t>
            </w:r>
            <w:r>
              <w:rPr>
                <w:rFonts w:hint="eastAsia"/>
                <w:color w:val="000000"/>
                <w:sz w:val="24"/>
                <w:vertAlign w:val="superscript"/>
              </w:rPr>
              <w:t>3</w:t>
            </w:r>
            <w:r>
              <w:rPr>
                <w:rFonts w:hint="eastAsia"/>
                <w:color w:val="000000"/>
                <w:sz w:val="24"/>
              </w:rPr>
              <w:t>/d；由于本项目清洗过程对水质要求不高，清洗废水经沉淀池沉淀后再通过水泵泵入清洗机，循环使用，不外排；考虑到蒸发损耗，损耗量以用水量的5</w:t>
            </w:r>
            <w:r>
              <w:rPr>
                <w:color w:val="000000"/>
                <w:sz w:val="24"/>
              </w:rPr>
              <w:t>％</w:t>
            </w:r>
            <w:r>
              <w:rPr>
                <w:rFonts w:hint="eastAsia"/>
                <w:color w:val="000000"/>
                <w:sz w:val="24"/>
              </w:rPr>
              <w:t>计，补水量为 0.5m</w:t>
            </w:r>
            <w:r>
              <w:rPr>
                <w:rFonts w:hint="eastAsia"/>
                <w:color w:val="000000"/>
                <w:sz w:val="24"/>
                <w:vertAlign w:val="superscript"/>
              </w:rPr>
              <w:t>3</w:t>
            </w:r>
            <w:r>
              <w:rPr>
                <w:rFonts w:hint="eastAsia"/>
                <w:color w:val="000000"/>
                <w:sz w:val="24"/>
              </w:rPr>
              <w:t>/d，即用水量为150m</w:t>
            </w:r>
            <w:r>
              <w:rPr>
                <w:rFonts w:hint="eastAsia"/>
                <w:color w:val="000000"/>
                <w:sz w:val="24"/>
                <w:vertAlign w:val="superscript"/>
              </w:rPr>
              <w:t>3</w:t>
            </w:r>
            <w:r>
              <w:rPr>
                <w:rFonts w:hint="eastAsia"/>
                <w:color w:val="000000"/>
                <w:sz w:val="24"/>
              </w:rPr>
              <w:t>/a。项目玻璃清洗水经过沉淀处理后循环使用，不外排。</w:t>
            </w:r>
          </w:p>
          <w:p>
            <w:pPr>
              <w:spacing w:line="360" w:lineRule="auto"/>
              <w:ind w:firstLine="482" w:firstLineChars="200"/>
              <w:rPr>
                <w:b/>
                <w:bCs/>
                <w:sz w:val="24"/>
              </w:rPr>
            </w:pPr>
            <w:r>
              <w:rPr>
                <w:b/>
                <w:bCs/>
                <w:sz w:val="24"/>
              </w:rPr>
              <w:t>3、冷却循环用水</w:t>
            </w:r>
          </w:p>
          <w:p>
            <w:pPr>
              <w:spacing w:line="360" w:lineRule="auto"/>
              <w:ind w:firstLine="480" w:firstLineChars="200"/>
              <w:rPr>
                <w:rFonts w:ascii="宋体" w:hAnsi="宋体" w:cs="宋体"/>
                <w:color w:val="000000"/>
                <w:sz w:val="24"/>
              </w:rPr>
            </w:pPr>
            <w:r>
              <w:rPr>
                <w:rFonts w:hint="eastAsia" w:ascii="宋体" w:hAnsi="宋体" w:cs="宋体"/>
                <w:color w:val="000000"/>
                <w:sz w:val="24"/>
              </w:rPr>
              <w:t>本项目夹胶玻璃生产过程中，在高压釜进行泄压过程中要进行循环冷却水降温。</w:t>
            </w:r>
            <w:r>
              <w:rPr>
                <w:rFonts w:hint="eastAsia"/>
                <w:color w:val="000000"/>
                <w:sz w:val="24"/>
              </w:rPr>
              <w:t>根据企业生产经验，清洗过程中用水量约10m</w:t>
            </w:r>
            <w:r>
              <w:rPr>
                <w:rFonts w:hint="eastAsia"/>
                <w:color w:val="000000"/>
                <w:sz w:val="24"/>
                <w:vertAlign w:val="superscript"/>
              </w:rPr>
              <w:t>3</w:t>
            </w:r>
            <w:r>
              <w:rPr>
                <w:rFonts w:hint="eastAsia"/>
                <w:color w:val="000000"/>
                <w:sz w:val="24"/>
              </w:rPr>
              <w:t>/d；循环使用，不外排；考虑到蒸发损耗，损耗量以用水量的5％计，补水量为 0.5m</w:t>
            </w:r>
            <w:r>
              <w:rPr>
                <w:rFonts w:hint="eastAsia"/>
                <w:color w:val="000000"/>
                <w:sz w:val="24"/>
                <w:vertAlign w:val="superscript"/>
              </w:rPr>
              <w:t>3</w:t>
            </w:r>
            <w:r>
              <w:rPr>
                <w:rFonts w:hint="eastAsia"/>
                <w:color w:val="000000"/>
                <w:sz w:val="24"/>
              </w:rPr>
              <w:t>/d，即用水量为150m</w:t>
            </w:r>
            <w:r>
              <w:rPr>
                <w:rFonts w:hint="eastAsia"/>
                <w:color w:val="000000"/>
                <w:sz w:val="24"/>
                <w:vertAlign w:val="superscript"/>
              </w:rPr>
              <w:t>3</w:t>
            </w:r>
            <w:r>
              <w:rPr>
                <w:rFonts w:hint="eastAsia"/>
                <w:color w:val="000000"/>
                <w:sz w:val="24"/>
              </w:rPr>
              <w:t>/a。</w:t>
            </w:r>
          </w:p>
          <w:p>
            <w:pPr>
              <w:pStyle w:val="12"/>
              <w:spacing w:after="0" w:line="360" w:lineRule="auto"/>
              <w:ind w:left="0" w:leftChars="0" w:firstLine="482"/>
              <w:jc w:val="left"/>
              <w:rPr>
                <w:b/>
                <w:bCs/>
                <w:sz w:val="24"/>
              </w:rPr>
            </w:pPr>
            <w:r>
              <w:rPr>
                <w:b/>
                <w:bCs/>
                <w:sz w:val="24"/>
              </w:rPr>
              <w:t>4、</w:t>
            </w:r>
            <w:r>
              <w:rPr>
                <w:rFonts w:hint="eastAsia"/>
                <w:b/>
                <w:bCs/>
                <w:sz w:val="24"/>
              </w:rPr>
              <w:t>磨边</w:t>
            </w:r>
            <w:r>
              <w:rPr>
                <w:b/>
                <w:bCs/>
                <w:sz w:val="24"/>
              </w:rPr>
              <w:t>废水</w:t>
            </w:r>
          </w:p>
          <w:p>
            <w:pPr>
              <w:pStyle w:val="13"/>
              <w:adjustRightInd w:val="0"/>
              <w:snapToGrid w:val="0"/>
              <w:spacing w:line="360" w:lineRule="auto"/>
              <w:ind w:firstLine="480" w:firstLineChars="200"/>
              <w:jc w:val="left"/>
              <w:rPr>
                <w:rFonts w:ascii="Times New Roman" w:hAnsi="Times New Roman" w:cs="Times New Roman"/>
                <w:color w:val="000000"/>
                <w:sz w:val="24"/>
                <w:szCs w:val="24"/>
              </w:rPr>
            </w:pPr>
            <w:r>
              <w:rPr>
                <w:rFonts w:hint="eastAsia"/>
                <w:color w:val="000000"/>
                <w:sz w:val="24"/>
              </w:rPr>
              <w:t>本项目玻璃在磨边时为了避免粉尘的产</w:t>
            </w:r>
            <w:r>
              <w:rPr>
                <w:rFonts w:hint="eastAsia" w:ascii="Times New Roman" w:hAnsi="Times New Roman" w:cs="Times New Roman"/>
                <w:color w:val="000000"/>
                <w:sz w:val="24"/>
                <w:szCs w:val="24"/>
              </w:rPr>
              <w:t>生，采用湿式磨边，磨边废水进入沉淀池沉淀后回用。根据企业生产经验，磨边过程中用水量约2m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/d；由于本项目磨边过程对水质要求不高，磨边废水经沉淀池沉淀后再通过水泵泵入磨边机，循环使用，不外排；考虑到蒸发损耗，损耗量以用水量的5％计，补水量为0.1m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/d，年用水量为30m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/a。</w:t>
            </w:r>
          </w:p>
          <w:p>
            <w:pPr>
              <w:pStyle w:val="13"/>
              <w:adjustRightInd w:val="0"/>
              <w:snapToGrid w:val="0"/>
              <w:spacing w:line="360" w:lineRule="auto"/>
              <w:jc w:val="center"/>
              <w:rPr>
                <w:rFonts w:ascii="Times New Roman" w:hAnsi="宋体"/>
                <w:b/>
              </w:rPr>
            </w:pPr>
            <w:r>
              <w:rPr>
                <w:rFonts w:hint="eastAsia" w:ascii="Times New Roman" w:hAnsi="Times New Roman" w:cs="Times New Roman"/>
                <w:b/>
                <w:bCs/>
                <w:snapToGrid w:val="0"/>
                <w:kern w:val="0"/>
              </w:rPr>
              <w:t>表2-5</w:t>
            </w:r>
            <w:r>
              <w:rPr>
                <w:rFonts w:ascii="Times New Roman" w:hAnsi="Times New Roman" w:cs="Times New Roman"/>
                <w:b/>
                <w:bCs/>
                <w:snapToGrid w:val="0"/>
                <w:kern w:val="0"/>
              </w:rPr>
              <w:t xml:space="preserve">  </w:t>
            </w:r>
            <w:r>
              <w:rPr>
                <w:rFonts w:hint="eastAsia" w:ascii="Times New Roman" w:hAnsi="Times New Roman" w:cs="Times New Roman"/>
                <w:b/>
                <w:bCs/>
                <w:snapToGrid w:val="0"/>
                <w:kern w:val="0"/>
              </w:rPr>
              <w:t>建设项目用水情况表</w:t>
            </w:r>
          </w:p>
          <w:tbl>
            <w:tblPr>
              <w:tblStyle w:val="23"/>
              <w:tblW w:w="935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836"/>
              <w:gridCol w:w="2758"/>
              <w:gridCol w:w="2460"/>
              <w:gridCol w:w="23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94" w:type="dxa"/>
                  <w:vAlign w:val="center"/>
                </w:tcPr>
                <w:p>
                  <w:pPr>
                    <w:snapToGrid w:val="0"/>
                    <w:jc w:val="center"/>
                    <w:rPr>
                      <w:szCs w:val="21"/>
                    </w:rPr>
                  </w:pPr>
                  <w:r>
                    <w:rPr>
                      <w:szCs w:val="21"/>
                    </w:rPr>
                    <w:t>名  称</w:t>
                  </w:r>
                </w:p>
              </w:tc>
              <w:tc>
                <w:tcPr>
                  <w:tcW w:w="2695" w:type="dxa"/>
                  <w:vAlign w:val="center"/>
                </w:tcPr>
                <w:p>
                  <w:pPr>
                    <w:snapToGrid w:val="0"/>
                    <w:jc w:val="center"/>
                    <w:rPr>
                      <w:szCs w:val="21"/>
                    </w:rPr>
                  </w:pPr>
                  <w:r>
                    <w:rPr>
                      <w:szCs w:val="21"/>
                    </w:rPr>
                    <w:t>用水标准</w:t>
                  </w:r>
                </w:p>
              </w:tc>
              <w:tc>
                <w:tcPr>
                  <w:tcW w:w="2404" w:type="dxa"/>
                  <w:vAlign w:val="center"/>
                </w:tcPr>
                <w:p>
                  <w:pPr>
                    <w:snapToGrid w:val="0"/>
                    <w:jc w:val="center"/>
                    <w:rPr>
                      <w:szCs w:val="21"/>
                    </w:rPr>
                  </w:pPr>
                  <w:r>
                    <w:rPr>
                      <w:szCs w:val="21"/>
                    </w:rPr>
                    <w:t>用水量</w:t>
                  </w:r>
                </w:p>
              </w:tc>
              <w:tc>
                <w:tcPr>
                  <w:tcW w:w="2247" w:type="dxa"/>
                  <w:vAlign w:val="center"/>
                </w:tcPr>
                <w:p>
                  <w:pPr>
                    <w:snapToGrid w:val="0"/>
                    <w:jc w:val="center"/>
                    <w:rPr>
                      <w:szCs w:val="21"/>
                    </w:rPr>
                  </w:pPr>
                  <w:r>
                    <w:rPr>
                      <w:szCs w:val="21"/>
                    </w:rPr>
                    <w:t>排水量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94" w:type="dxa"/>
                  <w:vAlign w:val="center"/>
                </w:tcPr>
                <w:p>
                  <w:pPr>
                    <w:snapToGrid w:val="0"/>
                    <w:jc w:val="center"/>
                    <w:rPr>
                      <w:szCs w:val="21"/>
                    </w:rPr>
                  </w:pPr>
                  <w:r>
                    <w:rPr>
                      <w:szCs w:val="21"/>
                    </w:rPr>
                    <w:t>职工生活用水</w:t>
                  </w:r>
                </w:p>
              </w:tc>
              <w:tc>
                <w:tcPr>
                  <w:tcW w:w="2695" w:type="dxa"/>
                  <w:vAlign w:val="center"/>
                </w:tcPr>
                <w:p>
                  <w:pPr>
                    <w:snapToGrid w:val="0"/>
                    <w:jc w:val="center"/>
                    <w:rPr>
                      <w:szCs w:val="21"/>
                    </w:rPr>
                  </w:pPr>
                  <w:r>
                    <w:rPr>
                      <w:rFonts w:hint="eastAsia"/>
                      <w:szCs w:val="21"/>
                    </w:rPr>
                    <w:t>50</w:t>
                  </w:r>
                  <w:r>
                    <w:rPr>
                      <w:szCs w:val="21"/>
                    </w:rPr>
                    <w:t>L/(人·d)</w:t>
                  </w:r>
                </w:p>
              </w:tc>
              <w:tc>
                <w:tcPr>
                  <w:tcW w:w="2404" w:type="dxa"/>
                  <w:vAlign w:val="center"/>
                </w:tcPr>
                <w:p>
                  <w:pPr>
                    <w:snapToGrid w:val="0"/>
                    <w:jc w:val="center"/>
                    <w:rPr>
                      <w:bCs/>
                      <w:szCs w:val="21"/>
                    </w:rPr>
                  </w:pPr>
                  <w:r>
                    <w:rPr>
                      <w:rFonts w:hint="eastAsia"/>
                      <w:szCs w:val="21"/>
                    </w:rPr>
                    <w:t>6</w:t>
                  </w:r>
                  <w:r>
                    <w:rPr>
                      <w:szCs w:val="21"/>
                    </w:rPr>
                    <w:t>m</w:t>
                  </w:r>
                  <w:r>
                    <w:rPr>
                      <w:szCs w:val="21"/>
                      <w:vertAlign w:val="superscript"/>
                    </w:rPr>
                    <w:t>3</w:t>
                  </w:r>
                  <w:r>
                    <w:rPr>
                      <w:szCs w:val="21"/>
                    </w:rPr>
                    <w:t>/d，</w:t>
                  </w:r>
                  <w:r>
                    <w:rPr>
                      <w:rFonts w:hint="eastAsia"/>
                      <w:szCs w:val="21"/>
                    </w:rPr>
                    <w:t>1800</w:t>
                  </w:r>
                  <w:r>
                    <w:rPr>
                      <w:szCs w:val="21"/>
                    </w:rPr>
                    <w:t>m</w:t>
                  </w:r>
                  <w:r>
                    <w:rPr>
                      <w:szCs w:val="21"/>
                      <w:vertAlign w:val="superscript"/>
                    </w:rPr>
                    <w:t>3</w:t>
                  </w:r>
                  <w:r>
                    <w:rPr>
                      <w:szCs w:val="21"/>
                    </w:rPr>
                    <w:t>/a</w:t>
                  </w:r>
                </w:p>
              </w:tc>
              <w:tc>
                <w:tcPr>
                  <w:tcW w:w="2247" w:type="dxa"/>
                  <w:vAlign w:val="center"/>
                </w:tcPr>
                <w:p>
                  <w:pPr>
                    <w:snapToGrid w:val="0"/>
                    <w:jc w:val="center"/>
                    <w:rPr>
                      <w:szCs w:val="21"/>
                    </w:rPr>
                  </w:pPr>
                  <w:r>
                    <w:rPr>
                      <w:rFonts w:hint="eastAsia"/>
                      <w:szCs w:val="21"/>
                    </w:rPr>
                    <w:t>4.</w:t>
                  </w:r>
                  <w:r>
                    <w:rPr>
                      <w:szCs w:val="21"/>
                    </w:rPr>
                    <w:t>8m</w:t>
                  </w:r>
                  <w:r>
                    <w:rPr>
                      <w:szCs w:val="21"/>
                      <w:vertAlign w:val="superscript"/>
                    </w:rPr>
                    <w:t>3</w:t>
                  </w:r>
                  <w:r>
                    <w:rPr>
                      <w:szCs w:val="21"/>
                    </w:rPr>
                    <w:t>/d，</w:t>
                  </w:r>
                  <w:r>
                    <w:rPr>
                      <w:rFonts w:hint="eastAsia"/>
                      <w:szCs w:val="21"/>
                    </w:rPr>
                    <w:t>1440</w:t>
                  </w:r>
                  <w:r>
                    <w:rPr>
                      <w:szCs w:val="21"/>
                    </w:rPr>
                    <w:t>m</w:t>
                  </w:r>
                  <w:r>
                    <w:rPr>
                      <w:szCs w:val="21"/>
                      <w:vertAlign w:val="superscript"/>
                    </w:rPr>
                    <w:t>3</w:t>
                  </w:r>
                  <w:r>
                    <w:rPr>
                      <w:szCs w:val="21"/>
                    </w:rPr>
                    <w:t>/a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94" w:type="dxa"/>
                  <w:vAlign w:val="center"/>
                </w:tcPr>
                <w:p>
                  <w:pPr>
                    <w:snapToGrid w:val="0"/>
                    <w:jc w:val="center"/>
                    <w:rPr>
                      <w:szCs w:val="21"/>
                    </w:rPr>
                  </w:pPr>
                  <w:r>
                    <w:rPr>
                      <w:szCs w:val="21"/>
                    </w:rPr>
                    <w:t>清洗用水</w:t>
                  </w:r>
                </w:p>
              </w:tc>
              <w:tc>
                <w:tcPr>
                  <w:tcW w:w="2695" w:type="dxa"/>
                  <w:vAlign w:val="center"/>
                </w:tcPr>
                <w:p>
                  <w:pPr>
                    <w:snapToGrid w:val="0"/>
                    <w:jc w:val="center"/>
                    <w:rPr>
                      <w:szCs w:val="21"/>
                    </w:rPr>
                  </w:pPr>
                  <w:r>
                    <w:rPr>
                      <w:szCs w:val="21"/>
                    </w:rPr>
                    <w:t>/</w:t>
                  </w:r>
                </w:p>
              </w:tc>
              <w:tc>
                <w:tcPr>
                  <w:tcW w:w="2404" w:type="dxa"/>
                  <w:vAlign w:val="center"/>
                </w:tcPr>
                <w:p>
                  <w:pPr>
                    <w:snapToGrid w:val="0"/>
                    <w:jc w:val="center"/>
                    <w:rPr>
                      <w:szCs w:val="21"/>
                    </w:rPr>
                  </w:pPr>
                  <w:r>
                    <w:rPr>
                      <w:szCs w:val="21"/>
                    </w:rPr>
                    <w:t>0.5m</w:t>
                  </w:r>
                  <w:r>
                    <w:rPr>
                      <w:szCs w:val="21"/>
                      <w:vertAlign w:val="superscript"/>
                    </w:rPr>
                    <w:t>3</w:t>
                  </w:r>
                  <w:r>
                    <w:rPr>
                      <w:szCs w:val="21"/>
                    </w:rPr>
                    <w:t>/d，150m</w:t>
                  </w:r>
                  <w:r>
                    <w:rPr>
                      <w:szCs w:val="21"/>
                      <w:vertAlign w:val="superscript"/>
                    </w:rPr>
                    <w:t>3</w:t>
                  </w:r>
                  <w:r>
                    <w:rPr>
                      <w:szCs w:val="21"/>
                    </w:rPr>
                    <w:t>/a</w:t>
                  </w:r>
                </w:p>
              </w:tc>
              <w:tc>
                <w:tcPr>
                  <w:tcW w:w="2247" w:type="dxa"/>
                  <w:vAlign w:val="center"/>
                </w:tcPr>
                <w:p>
                  <w:pPr>
                    <w:snapToGrid w:val="0"/>
                    <w:jc w:val="center"/>
                    <w:rPr>
                      <w:szCs w:val="21"/>
                    </w:rPr>
                  </w:pPr>
                  <w:r>
                    <w:rPr>
                      <w:szCs w:val="21"/>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jc w:val="center"/>
              </w:trPr>
              <w:tc>
                <w:tcPr>
                  <w:tcW w:w="1794" w:type="dxa"/>
                  <w:vAlign w:val="center"/>
                </w:tcPr>
                <w:p>
                  <w:pPr>
                    <w:snapToGrid w:val="0"/>
                    <w:jc w:val="center"/>
                    <w:rPr>
                      <w:szCs w:val="21"/>
                    </w:rPr>
                  </w:pPr>
                  <w:r>
                    <w:rPr>
                      <w:rFonts w:hint="eastAsia"/>
                      <w:szCs w:val="21"/>
                    </w:rPr>
                    <w:t>循环冷却水</w:t>
                  </w:r>
                </w:p>
              </w:tc>
              <w:tc>
                <w:tcPr>
                  <w:tcW w:w="2695" w:type="dxa"/>
                  <w:vAlign w:val="center"/>
                </w:tcPr>
                <w:p>
                  <w:pPr>
                    <w:snapToGrid w:val="0"/>
                    <w:jc w:val="center"/>
                    <w:rPr>
                      <w:szCs w:val="21"/>
                    </w:rPr>
                  </w:pPr>
                  <w:r>
                    <w:rPr>
                      <w:szCs w:val="21"/>
                    </w:rPr>
                    <w:t>/</w:t>
                  </w:r>
                </w:p>
              </w:tc>
              <w:tc>
                <w:tcPr>
                  <w:tcW w:w="2404" w:type="dxa"/>
                  <w:vAlign w:val="center"/>
                </w:tcPr>
                <w:p>
                  <w:pPr>
                    <w:snapToGrid w:val="0"/>
                    <w:jc w:val="center"/>
                    <w:rPr>
                      <w:szCs w:val="21"/>
                    </w:rPr>
                  </w:pPr>
                  <w:r>
                    <w:rPr>
                      <w:szCs w:val="21"/>
                    </w:rPr>
                    <w:t>0.5m</w:t>
                  </w:r>
                  <w:r>
                    <w:rPr>
                      <w:szCs w:val="21"/>
                      <w:vertAlign w:val="superscript"/>
                    </w:rPr>
                    <w:t>3</w:t>
                  </w:r>
                  <w:r>
                    <w:rPr>
                      <w:szCs w:val="21"/>
                    </w:rPr>
                    <w:t>/d</w:t>
                  </w:r>
                  <w:r>
                    <w:rPr>
                      <w:rFonts w:hint="eastAsia"/>
                      <w:szCs w:val="21"/>
                    </w:rPr>
                    <w:t>，</w:t>
                  </w:r>
                  <w:r>
                    <w:rPr>
                      <w:szCs w:val="21"/>
                    </w:rPr>
                    <w:t>150m</w:t>
                  </w:r>
                  <w:r>
                    <w:rPr>
                      <w:szCs w:val="21"/>
                      <w:vertAlign w:val="superscript"/>
                    </w:rPr>
                    <w:t>3</w:t>
                  </w:r>
                  <w:r>
                    <w:rPr>
                      <w:szCs w:val="21"/>
                    </w:rPr>
                    <w:t>/a</w:t>
                  </w:r>
                </w:p>
              </w:tc>
              <w:tc>
                <w:tcPr>
                  <w:tcW w:w="2247" w:type="dxa"/>
                  <w:vAlign w:val="center"/>
                </w:tcPr>
                <w:p>
                  <w:pPr>
                    <w:snapToGrid w:val="0"/>
                    <w:jc w:val="center"/>
                    <w:rPr>
                      <w:szCs w:val="21"/>
                    </w:rPr>
                  </w:pPr>
                  <w:r>
                    <w:rPr>
                      <w:rFonts w:hint="eastAsia"/>
                      <w:szCs w:val="21"/>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94" w:type="dxa"/>
                  <w:vAlign w:val="center"/>
                </w:tcPr>
                <w:p>
                  <w:pPr>
                    <w:snapToGrid w:val="0"/>
                    <w:jc w:val="center"/>
                    <w:rPr>
                      <w:szCs w:val="21"/>
                    </w:rPr>
                  </w:pPr>
                  <w:r>
                    <w:rPr>
                      <w:szCs w:val="21"/>
                    </w:rPr>
                    <w:t>磨边</w:t>
                  </w:r>
                  <w:r>
                    <w:rPr>
                      <w:rFonts w:hint="eastAsia"/>
                      <w:szCs w:val="21"/>
                    </w:rPr>
                    <w:t>废水</w:t>
                  </w:r>
                </w:p>
              </w:tc>
              <w:tc>
                <w:tcPr>
                  <w:tcW w:w="2695" w:type="dxa"/>
                  <w:vAlign w:val="center"/>
                </w:tcPr>
                <w:p>
                  <w:pPr>
                    <w:snapToGrid w:val="0"/>
                    <w:jc w:val="center"/>
                    <w:rPr>
                      <w:szCs w:val="21"/>
                    </w:rPr>
                  </w:pPr>
                  <w:r>
                    <w:rPr>
                      <w:szCs w:val="21"/>
                    </w:rPr>
                    <w:t>/</w:t>
                  </w:r>
                </w:p>
              </w:tc>
              <w:tc>
                <w:tcPr>
                  <w:tcW w:w="2404" w:type="dxa"/>
                  <w:vAlign w:val="center"/>
                </w:tcPr>
                <w:p>
                  <w:pPr>
                    <w:snapToGrid w:val="0"/>
                    <w:jc w:val="center"/>
                    <w:rPr>
                      <w:szCs w:val="21"/>
                    </w:rPr>
                  </w:pPr>
                  <w:r>
                    <w:rPr>
                      <w:szCs w:val="21"/>
                    </w:rPr>
                    <w:t>0.1 m</w:t>
                  </w:r>
                  <w:r>
                    <w:rPr>
                      <w:szCs w:val="21"/>
                      <w:vertAlign w:val="superscript"/>
                    </w:rPr>
                    <w:t>3</w:t>
                  </w:r>
                  <w:r>
                    <w:rPr>
                      <w:szCs w:val="21"/>
                    </w:rPr>
                    <w:t>/d，30m</w:t>
                  </w:r>
                  <w:r>
                    <w:rPr>
                      <w:szCs w:val="21"/>
                      <w:vertAlign w:val="superscript"/>
                    </w:rPr>
                    <w:t>3</w:t>
                  </w:r>
                  <w:r>
                    <w:rPr>
                      <w:szCs w:val="21"/>
                    </w:rPr>
                    <w:t>/a</w:t>
                  </w:r>
                </w:p>
              </w:tc>
              <w:tc>
                <w:tcPr>
                  <w:tcW w:w="2247" w:type="dxa"/>
                  <w:vAlign w:val="center"/>
                </w:tcPr>
                <w:p>
                  <w:pPr>
                    <w:snapToGrid w:val="0"/>
                    <w:jc w:val="center"/>
                    <w:rPr>
                      <w:szCs w:val="21"/>
                    </w:rPr>
                  </w:pPr>
                  <w:r>
                    <w:rPr>
                      <w:szCs w:val="21"/>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94" w:type="dxa"/>
                  <w:vAlign w:val="center"/>
                </w:tcPr>
                <w:p>
                  <w:pPr>
                    <w:snapToGrid w:val="0"/>
                    <w:jc w:val="center"/>
                    <w:rPr>
                      <w:szCs w:val="21"/>
                    </w:rPr>
                  </w:pPr>
                  <w:r>
                    <w:rPr>
                      <w:rFonts w:hint="eastAsia"/>
                      <w:szCs w:val="21"/>
                    </w:rPr>
                    <w:t>食堂用水</w:t>
                  </w:r>
                </w:p>
              </w:tc>
              <w:tc>
                <w:tcPr>
                  <w:tcW w:w="2695" w:type="dxa"/>
                  <w:vAlign w:val="center"/>
                </w:tcPr>
                <w:p>
                  <w:pPr>
                    <w:snapToGrid w:val="0"/>
                    <w:jc w:val="center"/>
                    <w:rPr>
                      <w:szCs w:val="21"/>
                    </w:rPr>
                  </w:pPr>
                  <w:r>
                    <w:rPr>
                      <w:rFonts w:hint="eastAsia"/>
                      <w:szCs w:val="21"/>
                    </w:rPr>
                    <w:t>20</w:t>
                  </w:r>
                  <w:r>
                    <w:rPr>
                      <w:szCs w:val="21"/>
                    </w:rPr>
                    <w:t>L/人·d</w:t>
                  </w:r>
                </w:p>
              </w:tc>
              <w:tc>
                <w:tcPr>
                  <w:tcW w:w="2404" w:type="dxa"/>
                  <w:vAlign w:val="center"/>
                </w:tcPr>
                <w:p>
                  <w:pPr>
                    <w:snapToGrid w:val="0"/>
                    <w:jc w:val="center"/>
                    <w:rPr>
                      <w:szCs w:val="21"/>
                    </w:rPr>
                  </w:pPr>
                  <w:r>
                    <w:rPr>
                      <w:rFonts w:hint="eastAsia"/>
                      <w:szCs w:val="21"/>
                    </w:rPr>
                    <w:t>1.4m</w:t>
                  </w:r>
                  <w:r>
                    <w:rPr>
                      <w:rFonts w:hint="eastAsia"/>
                      <w:szCs w:val="21"/>
                      <w:vertAlign w:val="superscript"/>
                    </w:rPr>
                    <w:t>3</w:t>
                  </w:r>
                  <w:r>
                    <w:rPr>
                      <w:rFonts w:hint="eastAsia"/>
                      <w:szCs w:val="21"/>
                    </w:rPr>
                    <w:t>/d、511m</w:t>
                  </w:r>
                  <w:r>
                    <w:rPr>
                      <w:rFonts w:hint="eastAsia"/>
                      <w:szCs w:val="21"/>
                      <w:vertAlign w:val="superscript"/>
                    </w:rPr>
                    <w:t>3</w:t>
                  </w:r>
                  <w:r>
                    <w:rPr>
                      <w:rFonts w:hint="eastAsia"/>
                      <w:szCs w:val="21"/>
                    </w:rPr>
                    <w:t>/a</w:t>
                  </w:r>
                </w:p>
              </w:tc>
              <w:tc>
                <w:tcPr>
                  <w:tcW w:w="2247" w:type="dxa"/>
                  <w:vAlign w:val="center"/>
                </w:tcPr>
                <w:p>
                  <w:pPr>
                    <w:snapToGrid w:val="0"/>
                    <w:jc w:val="center"/>
                    <w:rPr>
                      <w:szCs w:val="21"/>
                    </w:rPr>
                  </w:pPr>
                  <w:r>
                    <w:rPr>
                      <w:rFonts w:hint="eastAsia"/>
                      <w:szCs w:val="21"/>
                    </w:rPr>
                    <w:t>1.12m</w:t>
                  </w:r>
                  <w:r>
                    <w:rPr>
                      <w:rFonts w:hint="eastAsia"/>
                      <w:szCs w:val="21"/>
                      <w:vertAlign w:val="superscript"/>
                    </w:rPr>
                    <w:t>3</w:t>
                  </w:r>
                  <w:r>
                    <w:rPr>
                      <w:rFonts w:hint="eastAsia"/>
                      <w:szCs w:val="21"/>
                    </w:rPr>
                    <w:t>/d、408.8m</w:t>
                  </w:r>
                  <w:r>
                    <w:rPr>
                      <w:rFonts w:hint="eastAsia"/>
                      <w:szCs w:val="21"/>
                      <w:vertAlign w:val="superscript"/>
                    </w:rPr>
                    <w:t>3</w:t>
                  </w:r>
                  <w:r>
                    <w:rPr>
                      <w:rFonts w:hint="eastAsia"/>
                      <w:szCs w:val="21"/>
                    </w:rPr>
                    <w:t>/a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89" w:type="dxa"/>
                  <w:gridSpan w:val="2"/>
                  <w:vAlign w:val="center"/>
                </w:tcPr>
                <w:p>
                  <w:pPr>
                    <w:snapToGrid w:val="0"/>
                    <w:jc w:val="center"/>
                    <w:rPr>
                      <w:szCs w:val="21"/>
                    </w:rPr>
                  </w:pPr>
                  <w:r>
                    <w:rPr>
                      <w:szCs w:val="21"/>
                    </w:rPr>
                    <w:t>合计</w:t>
                  </w:r>
                </w:p>
              </w:tc>
              <w:tc>
                <w:tcPr>
                  <w:tcW w:w="2404" w:type="dxa"/>
                  <w:vAlign w:val="center"/>
                </w:tcPr>
                <w:p>
                  <w:pPr>
                    <w:snapToGrid w:val="0"/>
                    <w:jc w:val="center"/>
                    <w:rPr>
                      <w:szCs w:val="21"/>
                    </w:rPr>
                  </w:pPr>
                  <w:r>
                    <w:rPr>
                      <w:rFonts w:hint="eastAsia"/>
                      <w:szCs w:val="21"/>
                    </w:rPr>
                    <w:t>7.4</w:t>
                  </w:r>
                  <w:r>
                    <w:rPr>
                      <w:szCs w:val="21"/>
                    </w:rPr>
                    <w:t>m</w:t>
                  </w:r>
                  <w:r>
                    <w:rPr>
                      <w:szCs w:val="21"/>
                      <w:vertAlign w:val="superscript"/>
                    </w:rPr>
                    <w:t>3</w:t>
                  </w:r>
                  <w:r>
                    <w:rPr>
                      <w:szCs w:val="21"/>
                    </w:rPr>
                    <w:t>/d ，</w:t>
                  </w:r>
                  <w:r>
                    <w:rPr>
                      <w:rFonts w:hint="eastAsia"/>
                      <w:szCs w:val="21"/>
                    </w:rPr>
                    <w:t>2311</w:t>
                  </w:r>
                  <w:r>
                    <w:rPr>
                      <w:szCs w:val="21"/>
                    </w:rPr>
                    <w:t>m</w:t>
                  </w:r>
                  <w:r>
                    <w:rPr>
                      <w:szCs w:val="21"/>
                      <w:vertAlign w:val="superscript"/>
                    </w:rPr>
                    <w:t>3</w:t>
                  </w:r>
                  <w:r>
                    <w:rPr>
                      <w:szCs w:val="21"/>
                    </w:rPr>
                    <w:t>/a</w:t>
                  </w:r>
                </w:p>
              </w:tc>
              <w:tc>
                <w:tcPr>
                  <w:tcW w:w="2247" w:type="dxa"/>
                  <w:vAlign w:val="center"/>
                </w:tcPr>
                <w:p>
                  <w:pPr>
                    <w:snapToGrid w:val="0"/>
                    <w:jc w:val="center"/>
                    <w:rPr>
                      <w:szCs w:val="21"/>
                    </w:rPr>
                  </w:pPr>
                  <w:r>
                    <w:rPr>
                      <w:rFonts w:hint="eastAsia"/>
                      <w:szCs w:val="21"/>
                    </w:rPr>
                    <w:t>5.92</w:t>
                  </w:r>
                  <w:r>
                    <w:rPr>
                      <w:szCs w:val="21"/>
                    </w:rPr>
                    <w:t>m</w:t>
                  </w:r>
                  <w:r>
                    <w:rPr>
                      <w:szCs w:val="21"/>
                      <w:vertAlign w:val="superscript"/>
                    </w:rPr>
                    <w:t>3</w:t>
                  </w:r>
                  <w:r>
                    <w:rPr>
                      <w:szCs w:val="21"/>
                    </w:rPr>
                    <w:t>/d，</w:t>
                  </w:r>
                  <w:r>
                    <w:rPr>
                      <w:rFonts w:hint="eastAsia"/>
                      <w:szCs w:val="21"/>
                    </w:rPr>
                    <w:t>1848.8</w:t>
                  </w:r>
                  <w:r>
                    <w:rPr>
                      <w:szCs w:val="21"/>
                    </w:rPr>
                    <w:t>m</w:t>
                  </w:r>
                  <w:r>
                    <w:rPr>
                      <w:szCs w:val="21"/>
                      <w:vertAlign w:val="superscript"/>
                    </w:rPr>
                    <w:t>3</w:t>
                  </w:r>
                  <w:r>
                    <w:rPr>
                      <w:szCs w:val="21"/>
                    </w:rPr>
                    <w:t>/a</w:t>
                  </w:r>
                </w:p>
              </w:tc>
            </w:tr>
          </w:tbl>
          <w:p>
            <w:pPr>
              <w:spacing w:line="360" w:lineRule="auto"/>
              <w:jc w:val="center"/>
              <w:rPr>
                <w:b/>
                <w:bCs/>
                <w:snapToGrid w:val="0"/>
                <w:kern w:val="0"/>
                <w:szCs w:val="21"/>
              </w:rPr>
            </w:pPr>
            <w:r>
              <w:drawing>
                <wp:inline distT="0" distB="0" distL="114300" distR="114300">
                  <wp:extent cx="5534025" cy="4305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534025" cy="4305300"/>
                          </a:xfrm>
                          <a:prstGeom prst="rect">
                            <a:avLst/>
                          </a:prstGeom>
                          <a:noFill/>
                          <a:ln>
                            <a:noFill/>
                          </a:ln>
                        </pic:spPr>
                      </pic:pic>
                    </a:graphicData>
                  </a:graphic>
                </wp:inline>
              </w:drawing>
            </w:r>
          </w:p>
          <w:p>
            <w:pPr>
              <w:widowControl/>
              <w:jc w:val="center"/>
              <w:rPr>
                <w:b/>
                <w:bCs/>
                <w:szCs w:val="21"/>
              </w:rPr>
            </w:pPr>
            <w:r>
              <w:rPr>
                <w:b/>
                <w:bCs/>
                <w:szCs w:val="21"/>
              </w:rPr>
              <w:t>图</w:t>
            </w:r>
            <w:r>
              <w:rPr>
                <w:rFonts w:hint="eastAsia"/>
                <w:b/>
                <w:bCs/>
                <w:szCs w:val="21"/>
              </w:rPr>
              <w:t>4-1</w:t>
            </w:r>
            <w:r>
              <w:rPr>
                <w:b/>
                <w:bCs/>
                <w:szCs w:val="21"/>
              </w:rPr>
              <w:t>建设项目水平衡图（单位：m</w:t>
            </w:r>
            <w:r>
              <w:rPr>
                <w:b/>
                <w:bCs/>
                <w:szCs w:val="21"/>
                <w:vertAlign w:val="superscript"/>
              </w:rPr>
              <w:t>3</w:t>
            </w:r>
            <w:r>
              <w:rPr>
                <w:b/>
                <w:bCs/>
                <w:szCs w:val="21"/>
              </w:rPr>
              <w:t>/d）</w:t>
            </w:r>
          </w:p>
          <w:p>
            <w:pPr>
              <w:autoSpaceDE w:val="0"/>
              <w:autoSpaceDN w:val="0"/>
              <w:adjustRightInd w:val="0"/>
              <w:snapToGrid w:val="0"/>
              <w:spacing w:before="93" w:beforeLines="30" w:line="360" w:lineRule="auto"/>
              <w:ind w:firstLine="480" w:firstLineChars="200"/>
              <w:rPr>
                <w:color w:val="FF0000"/>
              </w:rPr>
            </w:pPr>
            <w:r>
              <w:rPr>
                <w:color w:val="000000"/>
                <w:kern w:val="0"/>
                <w:sz w:val="24"/>
              </w:rPr>
              <w:t>排水：</w:t>
            </w:r>
            <w:r>
              <w:rPr>
                <w:kern w:val="0"/>
                <w:sz w:val="24"/>
              </w:rPr>
              <w:t>项目污水主要为磨边废水、清洗废水及生活污水</w:t>
            </w:r>
            <w:r>
              <w:rPr>
                <w:rFonts w:hint="eastAsia"/>
                <w:kern w:val="0"/>
                <w:sz w:val="24"/>
              </w:rPr>
              <w:t>、食堂用水</w:t>
            </w:r>
            <w:r>
              <w:rPr>
                <w:kern w:val="0"/>
                <w:sz w:val="24"/>
              </w:rPr>
              <w:t>。磨边废水循环使用，不外排；清洗废水经</w:t>
            </w:r>
            <w:r>
              <w:rPr>
                <w:rFonts w:hint="eastAsia"/>
                <w:color w:val="auto"/>
                <w:kern w:val="0"/>
                <w:sz w:val="24"/>
                <w:lang w:eastAsia="zh-CN"/>
              </w:rPr>
              <w:t>水净化设备</w:t>
            </w:r>
            <w:r>
              <w:rPr>
                <w:kern w:val="0"/>
                <w:sz w:val="24"/>
              </w:rPr>
              <w:t>处理后，循环使用，不外排；生活污水</w:t>
            </w:r>
            <w:r>
              <w:rPr>
                <w:rFonts w:hint="eastAsia"/>
                <w:kern w:val="0"/>
                <w:sz w:val="24"/>
              </w:rPr>
              <w:t>、食堂废水</w:t>
            </w:r>
            <w:r>
              <w:rPr>
                <w:kern w:val="0"/>
                <w:sz w:val="24"/>
              </w:rPr>
              <w:t>经化粪池处理后，排入</w:t>
            </w:r>
            <w:r>
              <w:rPr>
                <w:rFonts w:hint="eastAsia"/>
                <w:kern w:val="0"/>
                <w:sz w:val="24"/>
              </w:rPr>
              <w:t>联熹污水处理厂</w:t>
            </w:r>
            <w:r>
              <w:rPr>
                <w:kern w:val="0"/>
                <w:sz w:val="24"/>
              </w:rPr>
              <w:t>，最终排入</w:t>
            </w:r>
            <w:r>
              <w:rPr>
                <w:rFonts w:hint="eastAsia"/>
                <w:kern w:val="0"/>
                <w:sz w:val="24"/>
              </w:rPr>
              <w:t>店埠</w:t>
            </w:r>
            <w:r>
              <w:rPr>
                <w:kern w:val="0"/>
                <w:sz w:val="24"/>
              </w:rPr>
              <w:t>河。</w:t>
            </w:r>
          </w:p>
          <w:p>
            <w:pPr>
              <w:tabs>
                <w:tab w:val="center" w:pos="4765"/>
                <w:tab w:val="left" w:pos="6420"/>
              </w:tabs>
              <w:adjustRightInd w:val="0"/>
              <w:snapToGrid w:val="0"/>
              <w:spacing w:before="156" w:beforeLines="50" w:line="360" w:lineRule="auto"/>
              <w:jc w:val="left"/>
              <w:rPr>
                <w:b/>
                <w:bCs/>
                <w:sz w:val="28"/>
                <w:szCs w:val="28"/>
              </w:rPr>
            </w:pPr>
            <w:r>
              <w:rPr>
                <w:b/>
                <w:bCs/>
                <w:sz w:val="28"/>
                <w:szCs w:val="28"/>
              </w:rPr>
              <w:t>2.4主要工艺流程及产污环节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项目营运期的工艺流程与环评时设计的工艺流程</w:t>
            </w:r>
            <w:r>
              <w:rPr>
                <w:rFonts w:hint="eastAsia"/>
                <w:sz w:val="24"/>
              </w:rPr>
              <w:t>相同</w:t>
            </w:r>
            <w:r>
              <w:rPr>
                <w:rFonts w:hint="eastAsia"/>
                <w:color w:val="000000" w:themeColor="text1"/>
                <w:sz w:val="24"/>
                <w14:textFill>
                  <w14:solidFill>
                    <w14:schemeClr w14:val="tx1"/>
                  </w14:solidFill>
                </w14:textFill>
              </w:rPr>
              <w:t>，工艺流程及产污节点图：</w:t>
            </w:r>
          </w:p>
          <w:p>
            <w:pPr>
              <w:pStyle w:val="9"/>
              <w:spacing w:before="93" w:beforeLines="30"/>
              <w:ind w:firstLine="241" w:firstLineChars="100"/>
              <w:jc w:val="left"/>
              <w:rPr>
                <w:b/>
                <w:bCs/>
                <w:sz w:val="24"/>
              </w:rPr>
            </w:pPr>
            <w:r>
              <w:rPr>
                <w:rFonts w:hint="eastAsia"/>
                <w:b/>
                <w:bCs/>
                <w:sz w:val="24"/>
              </w:rPr>
              <w:t>（1）钢化玻璃生产工艺流程：</w:t>
            </w:r>
          </w:p>
          <w:p>
            <w:pPr>
              <w:spacing w:line="360" w:lineRule="auto"/>
              <w:jc w:val="center"/>
              <w:rPr>
                <w:rFonts w:hAnsi="宋体"/>
                <w:b/>
                <w:sz w:val="24"/>
              </w:rPr>
            </w:pPr>
            <w:r>
              <w:drawing>
                <wp:inline distT="0" distB="0" distL="114300" distR="114300">
                  <wp:extent cx="5553075" cy="1638300"/>
                  <wp:effectExtent l="0" t="0" r="9525" b="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7"/>
                          <a:stretch>
                            <a:fillRect/>
                          </a:stretch>
                        </pic:blipFill>
                        <pic:spPr>
                          <a:xfrm>
                            <a:off x="0" y="0"/>
                            <a:ext cx="5553075" cy="1638300"/>
                          </a:xfrm>
                          <a:prstGeom prst="rect">
                            <a:avLst/>
                          </a:prstGeom>
                          <a:noFill/>
                          <a:ln>
                            <a:noFill/>
                          </a:ln>
                        </pic:spPr>
                      </pic:pic>
                    </a:graphicData>
                  </a:graphic>
                </wp:inline>
              </w:drawing>
            </w:r>
          </w:p>
          <w:p>
            <w:pPr>
              <w:jc w:val="center"/>
            </w:pPr>
          </w:p>
          <w:p>
            <w:pPr>
              <w:tabs>
                <w:tab w:val="left" w:pos="1446"/>
              </w:tabs>
              <w:adjustRightInd w:val="0"/>
              <w:snapToGrid w:val="0"/>
              <w:jc w:val="center"/>
              <w:rPr>
                <w:b/>
                <w:bCs/>
              </w:rPr>
            </w:pPr>
            <w:r>
              <w:rPr>
                <w:rFonts w:hint="eastAsia"/>
                <w:b/>
                <w:bCs/>
              </w:rPr>
              <w:t>图2-2 项目钢化玻璃生产线工艺流程及产污节点示意图</w:t>
            </w:r>
          </w:p>
          <w:p>
            <w:pPr>
              <w:tabs>
                <w:tab w:val="left" w:pos="1446"/>
              </w:tabs>
              <w:adjustRightInd w:val="0"/>
              <w:snapToGrid w:val="0"/>
              <w:jc w:val="center"/>
              <w:rPr>
                <w:b/>
                <w:bCs/>
              </w:rPr>
            </w:pPr>
          </w:p>
          <w:p>
            <w:pPr>
              <w:pStyle w:val="12"/>
              <w:tabs>
                <w:tab w:val="left" w:pos="7757"/>
              </w:tabs>
              <w:spacing w:after="0" w:line="360" w:lineRule="auto"/>
              <w:ind w:left="0" w:leftChars="0" w:firstLine="480"/>
              <w:rPr>
                <w:sz w:val="24"/>
              </w:rPr>
            </w:pPr>
            <w:r>
              <w:rPr>
                <w:rFonts w:hint="eastAsia"/>
                <w:sz w:val="24"/>
              </w:rPr>
              <w:t>生产工艺流程简述：</w:t>
            </w:r>
          </w:p>
          <w:p>
            <w:pPr>
              <w:pStyle w:val="6"/>
              <w:tabs>
                <w:tab w:val="left" w:pos="1513"/>
              </w:tabs>
              <w:spacing w:line="360" w:lineRule="auto"/>
              <w:ind w:firstLine="480"/>
              <w:rPr>
                <w:sz w:val="24"/>
                <w:szCs w:val="24"/>
              </w:rPr>
            </w:pPr>
            <w:r>
              <w:rPr>
                <w:sz w:val="24"/>
                <w:szCs w:val="24"/>
              </w:rPr>
              <w:t>从厂家购回玻璃原料后，先按规格裁制，再经清洗、磨边工序进行加工，最后将其放入钢化炉中进行钢化即得产品。主要的产物节点为裁制过程产生玻璃边角料S和噪声N，清洗过程产生噪声N和废水W1，磨边工序中产生的噪声N</w:t>
            </w:r>
            <w:r>
              <w:rPr>
                <w:rFonts w:hint="eastAsia"/>
                <w:sz w:val="24"/>
                <w:szCs w:val="24"/>
              </w:rPr>
              <w:t>、废气G1</w:t>
            </w:r>
            <w:r>
              <w:rPr>
                <w:sz w:val="24"/>
                <w:szCs w:val="24"/>
              </w:rPr>
              <w:t>和边角料S等等，其中清洗过程产生的废水W1可以循环使用</w:t>
            </w:r>
            <w:r>
              <w:rPr>
                <w:rFonts w:hint="eastAsia"/>
                <w:sz w:val="24"/>
                <w:szCs w:val="24"/>
              </w:rPr>
              <w:t>。</w:t>
            </w:r>
          </w:p>
          <w:p>
            <w:pPr>
              <w:spacing w:line="360" w:lineRule="auto"/>
              <w:ind w:firstLine="241" w:firstLineChars="100"/>
              <w:rPr>
                <w:b/>
                <w:sz w:val="24"/>
              </w:rPr>
            </w:pPr>
            <w:r>
              <w:rPr>
                <w:rFonts w:hint="eastAsia"/>
                <w:b/>
                <w:bCs/>
                <w:sz w:val="24"/>
              </w:rPr>
              <w:t>（2）</w:t>
            </w:r>
            <w:r>
              <w:rPr>
                <w:rFonts w:hint="eastAsia"/>
                <w:b/>
                <w:sz w:val="24"/>
              </w:rPr>
              <w:t>夹层玻璃生产工艺流程</w:t>
            </w:r>
          </w:p>
          <w:p>
            <w:pPr>
              <w:pStyle w:val="6"/>
              <w:tabs>
                <w:tab w:val="left" w:pos="1513"/>
              </w:tabs>
              <w:spacing w:line="360" w:lineRule="auto"/>
              <w:ind w:firstLine="0" w:firstLineChars="0"/>
              <w:jc w:val="left"/>
              <w:rPr>
                <w:sz w:val="24"/>
              </w:rPr>
            </w:pPr>
            <w:r>
              <w:drawing>
                <wp:inline distT="0" distB="0" distL="114300" distR="114300">
                  <wp:extent cx="5895975" cy="1581150"/>
                  <wp:effectExtent l="0" t="0" r="9525"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18"/>
                          <a:stretch>
                            <a:fillRect/>
                          </a:stretch>
                        </pic:blipFill>
                        <pic:spPr>
                          <a:xfrm>
                            <a:off x="0" y="0"/>
                            <a:ext cx="5895975" cy="1581150"/>
                          </a:xfrm>
                          <a:prstGeom prst="rect">
                            <a:avLst/>
                          </a:prstGeom>
                          <a:noFill/>
                          <a:ln>
                            <a:noFill/>
                          </a:ln>
                        </pic:spPr>
                      </pic:pic>
                    </a:graphicData>
                  </a:graphic>
                </wp:inline>
              </w:drawing>
            </w:r>
          </w:p>
          <w:p>
            <w:pPr>
              <w:tabs>
                <w:tab w:val="left" w:pos="1446"/>
              </w:tabs>
              <w:adjustRightInd w:val="0"/>
              <w:snapToGrid w:val="0"/>
              <w:jc w:val="center"/>
              <w:rPr>
                <w:b/>
                <w:bCs/>
              </w:rPr>
            </w:pPr>
            <w:r>
              <w:rPr>
                <w:rFonts w:hint="eastAsia"/>
                <w:b/>
                <w:bCs/>
              </w:rPr>
              <w:t>图2-3 项目夹层玻璃生产线工艺流程及产污节点示意图</w:t>
            </w:r>
          </w:p>
          <w:p>
            <w:pPr>
              <w:pStyle w:val="12"/>
              <w:tabs>
                <w:tab w:val="left" w:pos="7757"/>
              </w:tabs>
              <w:spacing w:after="0" w:line="360" w:lineRule="auto"/>
              <w:ind w:left="0" w:leftChars="0" w:firstLine="480"/>
              <w:rPr>
                <w:sz w:val="24"/>
              </w:rPr>
            </w:pPr>
            <w:r>
              <w:rPr>
                <w:rFonts w:hint="eastAsia"/>
                <w:sz w:val="24"/>
              </w:rPr>
              <w:t>生产工艺流程简述：</w:t>
            </w:r>
          </w:p>
          <w:p>
            <w:pPr>
              <w:pStyle w:val="12"/>
              <w:tabs>
                <w:tab w:val="left" w:pos="7757"/>
              </w:tabs>
              <w:spacing w:after="0" w:line="360" w:lineRule="auto"/>
              <w:ind w:left="0" w:leftChars="0" w:firstLine="480"/>
              <w:rPr>
                <w:sz w:val="24"/>
                <w:szCs w:val="20"/>
              </w:rPr>
            </w:pPr>
            <w:r>
              <w:rPr>
                <w:rFonts w:hint="eastAsia"/>
                <w:sz w:val="24"/>
                <w:szCs w:val="20"/>
              </w:rPr>
              <w:t>夹胶玻璃是在两片钢化玻璃之间夹了一层或多层PVB中间膜，经过特殊的高温高压工艺处理后，使玻璃和中间膜永久粘合为一体的复合玻璃产品。即将两片钢化玻璃成品中间加上PVB膜，放进高压釜中，通过空压机进行加压，压力为8bar~15bar，温度控制在</w:t>
            </w:r>
            <w:r>
              <w:rPr>
                <w:sz w:val="24"/>
                <w:szCs w:val="20"/>
              </w:rPr>
              <w:t>125</w:t>
            </w:r>
            <w:r>
              <w:rPr>
                <w:rFonts w:hint="eastAsia" w:ascii="宋体" w:hAnsi="宋体" w:cs="宋体"/>
                <w:sz w:val="24"/>
              </w:rPr>
              <w:t>℃</w:t>
            </w:r>
            <w:r>
              <w:rPr>
                <w:sz w:val="24"/>
              </w:rPr>
              <w:t>~</w:t>
            </w:r>
            <w:r>
              <w:rPr>
                <w:sz w:val="24"/>
                <w:szCs w:val="20"/>
              </w:rPr>
              <w:t>150</w:t>
            </w:r>
            <w:r>
              <w:rPr>
                <w:rFonts w:hint="eastAsia" w:ascii="宋体" w:hAnsi="宋体" w:cs="宋体"/>
                <w:sz w:val="24"/>
              </w:rPr>
              <w:t>℃</w:t>
            </w:r>
            <w:r>
              <w:rPr>
                <w:rFonts w:hint="eastAsia"/>
                <w:sz w:val="24"/>
                <w:szCs w:val="20"/>
              </w:rPr>
              <w:t>约2h，高温过程中PVB软化将两层玻璃粘合为一体，再通过冷却水循环冷却降温、泄压,开釜过程产生的有机废气采用集气罩收集废气，泄压过程通过缓冲罐连接管道引至主管道进行二级活性炭吸附，冷却后包装即出成品。</w:t>
            </w:r>
          </w:p>
          <w:p>
            <w:pPr>
              <w:pStyle w:val="12"/>
              <w:tabs>
                <w:tab w:val="left" w:pos="7757"/>
              </w:tabs>
              <w:spacing w:after="0" w:line="360" w:lineRule="auto"/>
              <w:ind w:left="0" w:leftChars="0" w:firstLine="480"/>
              <w:rPr>
                <w:sz w:val="24"/>
              </w:rPr>
            </w:pPr>
            <w:r>
              <w:rPr>
                <w:sz w:val="24"/>
              </w:rPr>
              <w:t>PVB中间膜</w:t>
            </w:r>
            <w:r>
              <w:rPr>
                <w:rFonts w:ascii="宋体" w:hAnsi="宋体" w:cs="宋体"/>
                <w:sz w:val="24"/>
              </w:rPr>
              <w:t>是半透明的薄膜，由聚乙烯醇缩丁醛树脂经增塑剂塑化挤压成型的一种高分子材料，性能稳定，</w:t>
            </w:r>
            <w:r>
              <w:rPr>
                <w:sz w:val="24"/>
              </w:rPr>
              <w:t>软化温度为60</w:t>
            </w:r>
            <w:r>
              <w:rPr>
                <w:rFonts w:hint="eastAsia" w:ascii="宋体" w:hAnsi="宋体" w:cs="宋体"/>
                <w:sz w:val="24"/>
              </w:rPr>
              <w:t>℃</w:t>
            </w:r>
            <w:r>
              <w:rPr>
                <w:sz w:val="24"/>
              </w:rPr>
              <w:t>~65</w:t>
            </w:r>
            <w:r>
              <w:rPr>
                <w:rFonts w:hint="eastAsia"/>
                <w:sz w:val="24"/>
              </w:rPr>
              <w:t>℃</w:t>
            </w:r>
            <w:r>
              <w:rPr>
                <w:sz w:val="24"/>
              </w:rPr>
              <w:t>，分解温度为400~600</w:t>
            </w:r>
            <w:r>
              <w:rPr>
                <w:rFonts w:hint="eastAsia" w:ascii="宋体" w:hAnsi="宋体" w:cs="宋体"/>
                <w:sz w:val="24"/>
              </w:rPr>
              <w:t>℃</w:t>
            </w:r>
            <w:r>
              <w:rPr>
                <w:sz w:val="24"/>
              </w:rPr>
              <w:t>，</w:t>
            </w:r>
            <w:r>
              <w:rPr>
                <w:rFonts w:ascii="宋体" w:hAnsi="宋体" w:cs="宋体"/>
                <w:sz w:val="24"/>
              </w:rPr>
              <w:t>分解产物主要为丁醛废气等。本项目高压釜</w:t>
            </w:r>
            <w:r>
              <w:rPr>
                <w:sz w:val="24"/>
              </w:rPr>
              <w:t>温度控制在125</w:t>
            </w:r>
            <w:r>
              <w:rPr>
                <w:rFonts w:hint="eastAsia" w:ascii="宋体" w:hAnsi="宋体" w:cs="宋体"/>
                <w:sz w:val="24"/>
              </w:rPr>
              <w:t>℃</w:t>
            </w:r>
            <w:r>
              <w:rPr>
                <w:sz w:val="24"/>
              </w:rPr>
              <w:t>~150</w:t>
            </w:r>
            <w:r>
              <w:rPr>
                <w:rFonts w:hint="eastAsia" w:ascii="宋体" w:hAnsi="宋体" w:cs="宋体"/>
                <w:sz w:val="24"/>
              </w:rPr>
              <w:t>℃</w:t>
            </w:r>
            <w:r>
              <w:rPr>
                <w:sz w:val="24"/>
              </w:rPr>
              <w:t>约2h,PVB膜不会分解，因此</w:t>
            </w:r>
            <w:r>
              <w:rPr>
                <w:rFonts w:hint="eastAsia"/>
                <w:sz w:val="24"/>
              </w:rPr>
              <w:t>夹层</w:t>
            </w:r>
            <w:r>
              <w:rPr>
                <w:sz w:val="24"/>
              </w:rPr>
              <w:t>玻璃在高压釜中高压加热过程中不会产生PVB分解废气。</w:t>
            </w:r>
          </w:p>
          <w:p>
            <w:pPr>
              <w:pStyle w:val="12"/>
              <w:tabs>
                <w:tab w:val="left" w:pos="7757"/>
              </w:tabs>
              <w:spacing w:after="0" w:line="360" w:lineRule="auto"/>
              <w:ind w:left="0" w:leftChars="0" w:firstLine="480"/>
              <w:rPr>
                <w:sz w:val="24"/>
              </w:rPr>
            </w:pPr>
            <w:r>
              <w:rPr>
                <w:sz w:val="24"/>
              </w:rPr>
              <w:t>在夹</w:t>
            </w:r>
            <w:r>
              <w:rPr>
                <w:rFonts w:hint="eastAsia"/>
                <w:sz w:val="24"/>
              </w:rPr>
              <w:t>层</w:t>
            </w:r>
            <w:r>
              <w:rPr>
                <w:sz w:val="24"/>
              </w:rPr>
              <w:t>玻璃生产线上，预压的温度控制在60</w:t>
            </w:r>
            <w:r>
              <w:rPr>
                <w:rFonts w:hint="eastAsia" w:ascii="宋体" w:hAnsi="宋体" w:cs="宋体"/>
                <w:sz w:val="24"/>
              </w:rPr>
              <w:t>℃</w:t>
            </w:r>
            <w:r>
              <w:rPr>
                <w:sz w:val="24"/>
              </w:rPr>
              <w:t>左右，高压的温度控制在125</w:t>
            </w:r>
            <w:r>
              <w:rPr>
                <w:rFonts w:hint="eastAsia" w:ascii="宋体" w:hAnsi="宋体" w:cs="宋体"/>
                <w:sz w:val="24"/>
              </w:rPr>
              <w:t>℃</w:t>
            </w:r>
            <w:r>
              <w:rPr>
                <w:sz w:val="24"/>
              </w:rPr>
              <w:t>~150</w:t>
            </w:r>
            <w:r>
              <w:rPr>
                <w:rFonts w:hint="eastAsia" w:ascii="宋体" w:hAnsi="宋体" w:cs="宋体"/>
                <w:sz w:val="24"/>
              </w:rPr>
              <w:t>℃</w:t>
            </w:r>
            <w:r>
              <w:rPr>
                <w:sz w:val="24"/>
              </w:rPr>
              <w:t>，均未达到PVB胶片分解温度(</w:t>
            </w:r>
            <w:r>
              <w:rPr>
                <w:rFonts w:hint="eastAsia"/>
                <w:sz w:val="24"/>
              </w:rPr>
              <w:t>400</w:t>
            </w:r>
            <w:r>
              <w:rPr>
                <w:rFonts w:hint="eastAsia" w:ascii="宋体" w:hAnsi="宋体" w:cs="宋体"/>
                <w:sz w:val="24"/>
              </w:rPr>
              <w:t>℃</w:t>
            </w:r>
            <w:r>
              <w:rPr>
                <w:sz w:val="24"/>
              </w:rPr>
              <w:t>~-</w:t>
            </w:r>
            <w:r>
              <w:rPr>
                <w:rFonts w:hint="eastAsia"/>
                <w:sz w:val="24"/>
              </w:rPr>
              <w:t>600</w:t>
            </w:r>
            <w:r>
              <w:rPr>
                <w:rFonts w:hint="eastAsia" w:ascii="宋体" w:hAnsi="宋体" w:cs="宋体"/>
                <w:sz w:val="24"/>
              </w:rPr>
              <w:t>℃</w:t>
            </w:r>
            <w:r>
              <w:rPr>
                <w:sz w:val="24"/>
              </w:rPr>
              <w:t>)，同时设备均采用电加热，因此夹层玻璃生产过程中有少量有机废气产生。</w:t>
            </w:r>
          </w:p>
          <w:p>
            <w:pPr>
              <w:pStyle w:val="12"/>
              <w:tabs>
                <w:tab w:val="left" w:pos="7757"/>
              </w:tabs>
              <w:spacing w:after="0" w:line="360" w:lineRule="auto"/>
              <w:ind w:left="0" w:leftChars="0" w:firstLine="480"/>
              <w:rPr>
                <w:color w:val="000000"/>
                <w:sz w:val="24"/>
              </w:rPr>
            </w:pPr>
            <w:r>
              <w:rPr>
                <w:color w:val="000000"/>
                <w:sz w:val="24"/>
              </w:rPr>
              <w:t>主要的产污节点为裁制过程中产生玻璃边角料S</w:t>
            </w:r>
            <w:r>
              <w:rPr>
                <w:rFonts w:hint="eastAsia"/>
                <w:color w:val="000000"/>
                <w:sz w:val="24"/>
              </w:rPr>
              <w:t>2</w:t>
            </w:r>
            <w:r>
              <w:rPr>
                <w:color w:val="000000"/>
                <w:sz w:val="24"/>
              </w:rPr>
              <w:t>和噪声N，清洗过程产生噪声N和废水W</w:t>
            </w:r>
            <w:r>
              <w:rPr>
                <w:rFonts w:hint="eastAsia"/>
                <w:color w:val="000000"/>
                <w:sz w:val="24"/>
              </w:rPr>
              <w:t>2</w:t>
            </w:r>
            <w:r>
              <w:rPr>
                <w:color w:val="000000"/>
                <w:sz w:val="24"/>
              </w:rPr>
              <w:t>，磨边工序中产生的噪声N</w:t>
            </w:r>
            <w:r>
              <w:rPr>
                <w:rFonts w:hint="eastAsia"/>
                <w:color w:val="000000"/>
                <w:sz w:val="24"/>
              </w:rPr>
              <w:t>、废气G2</w:t>
            </w:r>
            <w:r>
              <w:rPr>
                <w:color w:val="000000"/>
                <w:sz w:val="24"/>
              </w:rPr>
              <w:t>和玻璃边角料S</w:t>
            </w:r>
            <w:r>
              <w:rPr>
                <w:rFonts w:hint="eastAsia"/>
                <w:color w:val="000000"/>
                <w:sz w:val="24"/>
              </w:rPr>
              <w:t>3</w:t>
            </w:r>
            <w:r>
              <w:rPr>
                <w:color w:val="000000"/>
                <w:sz w:val="24"/>
              </w:rPr>
              <w:t>等。其中清洗过程产生的废水W1可以循环利用。</w:t>
            </w:r>
          </w:p>
          <w:p>
            <w:pPr>
              <w:spacing w:line="360" w:lineRule="auto"/>
              <w:ind w:firstLine="482" w:firstLineChars="200"/>
              <w:rPr>
                <w:b/>
                <w:bCs/>
                <w:sz w:val="24"/>
              </w:rPr>
            </w:pPr>
            <w:r>
              <w:rPr>
                <w:rFonts w:hint="eastAsia"/>
                <w:b/>
                <w:sz w:val="24"/>
              </w:rPr>
              <w:t>（</w:t>
            </w:r>
            <w:r>
              <w:rPr>
                <w:rFonts w:hint="eastAsia"/>
                <w:b/>
                <w:bCs/>
                <w:sz w:val="24"/>
              </w:rPr>
              <w:t>3）百叶系统生产工艺流程</w:t>
            </w:r>
          </w:p>
          <w:p>
            <w:pPr>
              <w:pStyle w:val="6"/>
              <w:tabs>
                <w:tab w:val="left" w:pos="1513"/>
              </w:tabs>
              <w:spacing w:line="360" w:lineRule="auto"/>
              <w:rPr>
                <w:sz w:val="24"/>
              </w:rPr>
            </w:pPr>
            <w:r>
              <w:drawing>
                <wp:inline distT="0" distB="0" distL="114300" distR="114300">
                  <wp:extent cx="5772150" cy="1381125"/>
                  <wp:effectExtent l="0" t="0" r="0" b="952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19"/>
                          <a:stretch>
                            <a:fillRect/>
                          </a:stretch>
                        </pic:blipFill>
                        <pic:spPr>
                          <a:xfrm>
                            <a:off x="0" y="0"/>
                            <a:ext cx="5772150" cy="1381125"/>
                          </a:xfrm>
                          <a:prstGeom prst="rect">
                            <a:avLst/>
                          </a:prstGeom>
                          <a:noFill/>
                          <a:ln>
                            <a:noFill/>
                          </a:ln>
                        </pic:spPr>
                      </pic:pic>
                    </a:graphicData>
                  </a:graphic>
                </wp:inline>
              </w:drawing>
            </w:r>
          </w:p>
          <w:p>
            <w:pPr>
              <w:tabs>
                <w:tab w:val="left" w:pos="1446"/>
              </w:tabs>
              <w:adjustRightInd w:val="0"/>
              <w:snapToGrid w:val="0"/>
              <w:jc w:val="center"/>
              <w:rPr>
                <w:b/>
                <w:bCs/>
              </w:rPr>
            </w:pPr>
            <w:r>
              <w:rPr>
                <w:rFonts w:hint="eastAsia"/>
                <w:b/>
                <w:bCs/>
              </w:rPr>
              <w:t>图2-4  项目百叶系统生产工艺流程及产污环节点示意图</w:t>
            </w:r>
          </w:p>
          <w:p>
            <w:pPr>
              <w:pStyle w:val="12"/>
              <w:tabs>
                <w:tab w:val="left" w:pos="7757"/>
              </w:tabs>
              <w:spacing w:after="0" w:line="360" w:lineRule="auto"/>
              <w:ind w:left="0" w:leftChars="0" w:firstLine="480"/>
              <w:rPr>
                <w:sz w:val="24"/>
              </w:rPr>
            </w:pPr>
            <w:r>
              <w:rPr>
                <w:rFonts w:hint="eastAsia"/>
                <w:sz w:val="24"/>
              </w:rPr>
              <w:t>生产工艺流程简述：</w:t>
            </w:r>
          </w:p>
          <w:p>
            <w:pPr>
              <w:pStyle w:val="12"/>
              <w:tabs>
                <w:tab w:val="left" w:pos="7757"/>
              </w:tabs>
              <w:spacing w:after="0" w:line="360" w:lineRule="auto"/>
              <w:ind w:left="0" w:leftChars="0" w:firstLine="480"/>
              <w:rPr>
                <w:color w:val="000000"/>
                <w:sz w:val="24"/>
              </w:rPr>
            </w:pPr>
            <w:r>
              <w:rPr>
                <w:color w:val="000000"/>
                <w:sz w:val="24"/>
              </w:rPr>
              <w:t>从</w:t>
            </w:r>
            <w:r>
              <w:rPr>
                <w:rFonts w:hint="eastAsia"/>
                <w:color w:val="000000"/>
                <w:sz w:val="24"/>
              </w:rPr>
              <w:t>百叶片、边框型材、线绳、磁铁厂家购买原材料后，</w:t>
            </w:r>
            <w:r>
              <w:rPr>
                <w:color w:val="000000"/>
                <w:sz w:val="24"/>
              </w:rPr>
              <w:t>先按规格</w:t>
            </w:r>
            <w:r>
              <w:rPr>
                <w:rFonts w:hint="eastAsia"/>
                <w:color w:val="000000"/>
                <w:sz w:val="24"/>
              </w:rPr>
              <w:t>下料</w:t>
            </w:r>
            <w:r>
              <w:rPr>
                <w:color w:val="000000"/>
                <w:sz w:val="24"/>
              </w:rPr>
              <w:t>，再</w:t>
            </w:r>
            <w:r>
              <w:rPr>
                <w:rFonts w:hint="eastAsia"/>
                <w:color w:val="000000"/>
                <w:sz w:val="24"/>
              </w:rPr>
              <w:t>经过打百叶片、穿线、组框，调试即可得</w:t>
            </w:r>
            <w:r>
              <w:rPr>
                <w:color w:val="000000"/>
                <w:sz w:val="24"/>
              </w:rPr>
              <w:t>产品。主要的产污节点为</w:t>
            </w:r>
            <w:r>
              <w:rPr>
                <w:rFonts w:hint="eastAsia"/>
                <w:color w:val="000000"/>
                <w:sz w:val="24"/>
              </w:rPr>
              <w:t>下料</w:t>
            </w:r>
            <w:r>
              <w:rPr>
                <w:color w:val="000000"/>
                <w:sz w:val="24"/>
              </w:rPr>
              <w:t>过程中产生</w:t>
            </w:r>
            <w:r>
              <w:rPr>
                <w:rFonts w:hint="eastAsia"/>
                <w:color w:val="000000"/>
                <w:sz w:val="24"/>
              </w:rPr>
              <w:t>的</w:t>
            </w:r>
            <w:r>
              <w:rPr>
                <w:color w:val="000000"/>
                <w:sz w:val="24"/>
              </w:rPr>
              <w:t>噪声N，</w:t>
            </w:r>
            <w:r>
              <w:rPr>
                <w:rFonts w:hint="eastAsia"/>
                <w:color w:val="000000"/>
                <w:sz w:val="24"/>
              </w:rPr>
              <w:t>铝型材边角料S。</w:t>
            </w:r>
          </w:p>
          <w:p>
            <w:pPr>
              <w:spacing w:line="360" w:lineRule="auto"/>
              <w:ind w:firstLine="482" w:firstLineChars="200"/>
              <w:rPr>
                <w:b/>
                <w:bCs/>
                <w:sz w:val="24"/>
              </w:rPr>
            </w:pPr>
            <w:r>
              <w:rPr>
                <w:rFonts w:hint="eastAsia"/>
                <w:b/>
                <w:sz w:val="24"/>
              </w:rPr>
              <w:t>（4</w:t>
            </w:r>
            <w:r>
              <w:rPr>
                <w:rFonts w:hint="eastAsia"/>
                <w:b/>
                <w:bCs/>
                <w:sz w:val="24"/>
              </w:rPr>
              <w:t>）</w:t>
            </w:r>
            <w:r>
              <w:rPr>
                <w:rFonts w:hint="eastAsia"/>
                <w:b/>
                <w:sz w:val="24"/>
              </w:rPr>
              <w:t>节能中空玻璃及中空百叶玻璃生产工艺流程</w:t>
            </w:r>
          </w:p>
          <w:p>
            <w:pPr>
              <w:pStyle w:val="6"/>
              <w:tabs>
                <w:tab w:val="left" w:pos="1513"/>
              </w:tabs>
              <w:spacing w:line="360" w:lineRule="auto"/>
              <w:ind w:firstLine="0" w:firstLineChars="0"/>
              <w:rPr>
                <w:sz w:val="24"/>
              </w:rPr>
            </w:pPr>
            <w:r>
              <w:drawing>
                <wp:inline distT="0" distB="0" distL="114300" distR="114300">
                  <wp:extent cx="5981700" cy="2447925"/>
                  <wp:effectExtent l="0" t="0" r="0" b="952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20"/>
                          <a:stretch>
                            <a:fillRect/>
                          </a:stretch>
                        </pic:blipFill>
                        <pic:spPr>
                          <a:xfrm>
                            <a:off x="0" y="0"/>
                            <a:ext cx="5981700" cy="2447925"/>
                          </a:xfrm>
                          <a:prstGeom prst="rect">
                            <a:avLst/>
                          </a:prstGeom>
                          <a:noFill/>
                          <a:ln>
                            <a:noFill/>
                          </a:ln>
                        </pic:spPr>
                      </pic:pic>
                    </a:graphicData>
                  </a:graphic>
                </wp:inline>
              </w:drawing>
            </w:r>
          </w:p>
          <w:p>
            <w:pPr>
              <w:tabs>
                <w:tab w:val="left" w:pos="1446"/>
              </w:tabs>
              <w:adjustRightInd w:val="0"/>
              <w:snapToGrid w:val="0"/>
              <w:jc w:val="center"/>
              <w:rPr>
                <w:b/>
                <w:bCs/>
              </w:rPr>
            </w:pPr>
            <w:r>
              <w:rPr>
                <w:rFonts w:hint="eastAsia"/>
                <w:b/>
                <w:bCs/>
              </w:rPr>
              <w:t>图2-5  项目节能中空玻璃及百叶玻璃生产工艺流程及产污环节点示意图</w:t>
            </w:r>
          </w:p>
          <w:p>
            <w:pPr>
              <w:pStyle w:val="6"/>
              <w:tabs>
                <w:tab w:val="left" w:pos="1513"/>
              </w:tabs>
              <w:spacing w:line="360" w:lineRule="auto"/>
              <w:ind w:firstLine="480"/>
              <w:rPr>
                <w:sz w:val="24"/>
              </w:rPr>
            </w:pPr>
            <w:r>
              <w:rPr>
                <w:sz w:val="24"/>
              </w:rPr>
              <mc:AlternateContent>
                <mc:Choice Requires="wps">
                  <w:drawing>
                    <wp:anchor distT="0" distB="0" distL="114300" distR="114300" simplePos="0" relativeHeight="251683840" behindDoc="0" locked="0" layoutInCell="1" allowOverlap="1">
                      <wp:simplePos x="0" y="0"/>
                      <wp:positionH relativeFrom="column">
                        <wp:posOffset>156845</wp:posOffset>
                      </wp:positionH>
                      <wp:positionV relativeFrom="paragraph">
                        <wp:posOffset>1558290</wp:posOffset>
                      </wp:positionV>
                      <wp:extent cx="1419225" cy="819785"/>
                      <wp:effectExtent l="4445" t="4445" r="5080" b="13970"/>
                      <wp:wrapNone/>
                      <wp:docPr id="114" name="文本框 4"/>
                      <wp:cNvGraphicFramePr/>
                      <a:graphic xmlns:a="http://schemas.openxmlformats.org/drawingml/2006/main">
                        <a:graphicData uri="http://schemas.microsoft.com/office/word/2010/wordprocessingShape">
                          <wps:wsp>
                            <wps:cNvSpPr txBox="1"/>
                            <wps:spPr>
                              <a:xfrm>
                                <a:off x="0" y="0"/>
                                <a:ext cx="1419225" cy="819785"/>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wps:spPr>
                            <wps:txbx>
                              <w:txbxContent>
                                <w:p>
                                  <w:pPr>
                                    <w:rPr>
                                      <w:szCs w:val="21"/>
                                    </w:rPr>
                                  </w:pPr>
                                  <w:r>
                                    <w:rPr>
                                      <w:rFonts w:hint="eastAsia"/>
                                      <w:szCs w:val="21"/>
                                    </w:rPr>
                                    <w:t>G7、G8、G9—废气</w:t>
                                  </w:r>
                                </w:p>
                                <w:p>
                                  <w:pPr>
                                    <w:pStyle w:val="15"/>
                                    <w:rPr>
                                      <w:sz w:val="21"/>
                                      <w:szCs w:val="21"/>
                                    </w:rPr>
                                  </w:pPr>
                                  <w:r>
                                    <w:rPr>
                                      <w:rFonts w:hint="eastAsia"/>
                                      <w:sz w:val="21"/>
                                      <w:szCs w:val="21"/>
                                    </w:rPr>
                                    <w:t>N—噪声</w:t>
                                  </w:r>
                                </w:p>
                                <w:p>
                                  <w:pPr>
                                    <w:pStyle w:val="15"/>
                                    <w:rPr>
                                      <w:sz w:val="21"/>
                                      <w:szCs w:val="21"/>
                                    </w:rPr>
                                  </w:pPr>
                                  <w:r>
                                    <w:rPr>
                                      <w:rFonts w:hint="eastAsia"/>
                                      <w:sz w:val="21"/>
                                      <w:szCs w:val="21"/>
                                    </w:rPr>
                                    <w:t>S—固体废物</w:t>
                                  </w:r>
                                </w:p>
                                <w:p>
                                  <w:pPr>
                                    <w:pStyle w:val="15"/>
                                    <w:rPr>
                                      <w:sz w:val="21"/>
                                      <w:szCs w:val="21"/>
                                    </w:rPr>
                                  </w:pPr>
                                  <w:r>
                                    <w:rPr>
                                      <w:rFonts w:hint="eastAsia"/>
                                      <w:sz w:val="21"/>
                                      <w:szCs w:val="21"/>
                                    </w:rPr>
                                    <w:t>W4—废水</w:t>
                                  </w:r>
                                </w:p>
                              </w:txbxContent>
                            </wps:txbx>
                            <wps:bodyPr upright="1"/>
                          </wps:wsp>
                        </a:graphicData>
                      </a:graphic>
                    </wp:anchor>
                  </w:drawing>
                </mc:Choice>
                <mc:Fallback>
                  <w:pict>
                    <v:shape id="文本框 4" o:spid="_x0000_s1026" o:spt="202" type="#_x0000_t202" style="position:absolute;left:0pt;margin-left:12.35pt;margin-top:122.7pt;height:64.55pt;width:111.75pt;z-index:251683840;mso-width-relative:page;mso-height-relative:page;" fillcolor="#FFFFFF" filled="t" stroked="t" coordsize="21600,21600" o:gfxdata="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nWhtsAAAAKAQAADwAAAAAAAAAB&#10;ACAAAAAiAAAAZHJzL2Rvd25yZXYueG1sUEsBAhQAFAAAAAgAh07iQEF16StGAgAAvwQAAA4AAAAA&#10;AAAAAQAgAAAAKgEAAGRycy9lMm9Eb2MueG1sUEsFBgAAAAAGAAYAWQEAAOIFAAAAAA==&#10;">
                      <v:fill type="gradient" on="t" color2="#FFFFFF" angle="90" focus="100%" focussize="0,0">
                        <o:fill type="gradientUnscaled" v:ext="backwardCompatible"/>
                      </v:fill>
                      <v:stroke weight="0.25pt" color="#000000" joinstyle="miter"/>
                      <v:imagedata o:title=""/>
                      <o:lock v:ext="edit" aspectratio="f"/>
                      <v:textbox>
                        <w:txbxContent>
                          <w:p>
                            <w:pPr>
                              <w:rPr>
                                <w:szCs w:val="21"/>
                              </w:rPr>
                            </w:pPr>
                            <w:r>
                              <w:rPr>
                                <w:rFonts w:hint="eastAsia"/>
                                <w:szCs w:val="21"/>
                              </w:rPr>
                              <w:t>G7、G8、G9—废气</w:t>
                            </w:r>
                          </w:p>
                          <w:p>
                            <w:pPr>
                              <w:pStyle w:val="15"/>
                              <w:rPr>
                                <w:sz w:val="21"/>
                                <w:szCs w:val="21"/>
                              </w:rPr>
                            </w:pPr>
                            <w:r>
                              <w:rPr>
                                <w:rFonts w:hint="eastAsia"/>
                                <w:sz w:val="21"/>
                                <w:szCs w:val="21"/>
                              </w:rPr>
                              <w:t>N—噪声</w:t>
                            </w:r>
                          </w:p>
                          <w:p>
                            <w:pPr>
                              <w:pStyle w:val="15"/>
                              <w:rPr>
                                <w:sz w:val="21"/>
                                <w:szCs w:val="21"/>
                              </w:rPr>
                            </w:pPr>
                            <w:r>
                              <w:rPr>
                                <w:rFonts w:hint="eastAsia"/>
                                <w:sz w:val="21"/>
                                <w:szCs w:val="21"/>
                              </w:rPr>
                              <w:t>S—固体废物</w:t>
                            </w:r>
                          </w:p>
                          <w:p>
                            <w:pPr>
                              <w:pStyle w:val="15"/>
                              <w:rPr>
                                <w:sz w:val="21"/>
                                <w:szCs w:val="21"/>
                              </w:rPr>
                            </w:pPr>
                            <w:r>
                              <w:rPr>
                                <w:rFonts w:hint="eastAsia"/>
                                <w:sz w:val="21"/>
                                <w:szCs w:val="21"/>
                              </w:rPr>
                              <w:t>W4—废水</w:t>
                            </w:r>
                          </w:p>
                        </w:txbxContent>
                      </v:textbox>
                    </v:shape>
                  </w:pict>
                </mc:Fallback>
              </mc:AlternateContent>
            </w:r>
            <w:r>
              <w:drawing>
                <wp:inline distT="0" distB="0" distL="114300" distR="114300">
                  <wp:extent cx="5371465" cy="2099945"/>
                  <wp:effectExtent l="0" t="0" r="635" b="14605"/>
                  <wp:docPr id="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pic:cNvPicPr>
                            <a:picLocks noChangeAspect="1"/>
                          </pic:cNvPicPr>
                        </pic:nvPicPr>
                        <pic:blipFill>
                          <a:blip r:embed="rId21"/>
                          <a:stretch>
                            <a:fillRect/>
                          </a:stretch>
                        </pic:blipFill>
                        <pic:spPr>
                          <a:xfrm>
                            <a:off x="0" y="0"/>
                            <a:ext cx="5371465" cy="2099945"/>
                          </a:xfrm>
                          <a:prstGeom prst="rect">
                            <a:avLst/>
                          </a:prstGeom>
                          <a:noFill/>
                          <a:ln>
                            <a:noFill/>
                          </a:ln>
                        </pic:spPr>
                      </pic:pic>
                    </a:graphicData>
                  </a:graphic>
                </wp:inline>
              </w:drawing>
            </w:r>
          </w:p>
          <w:p>
            <w:pPr>
              <w:pStyle w:val="6"/>
              <w:tabs>
                <w:tab w:val="left" w:pos="1513"/>
              </w:tabs>
              <w:spacing w:line="360" w:lineRule="auto"/>
              <w:ind w:firstLine="480"/>
              <w:rPr>
                <w:sz w:val="24"/>
              </w:rPr>
            </w:pPr>
          </w:p>
          <w:p>
            <w:pPr>
              <w:tabs>
                <w:tab w:val="left" w:pos="1446"/>
              </w:tabs>
              <w:adjustRightInd w:val="0"/>
              <w:snapToGrid w:val="0"/>
              <w:jc w:val="center"/>
              <w:rPr>
                <w:b/>
                <w:bCs/>
              </w:rPr>
            </w:pPr>
            <w:r>
              <w:rPr>
                <w:rFonts w:hint="eastAsia"/>
                <w:b/>
                <w:bCs/>
              </w:rPr>
              <w:t>图2-6  项目内置百叶玻璃生产工艺流程及产污环节点示意图</w:t>
            </w:r>
          </w:p>
          <w:p>
            <w:pPr>
              <w:pStyle w:val="6"/>
              <w:tabs>
                <w:tab w:val="left" w:pos="1513"/>
              </w:tabs>
              <w:spacing w:line="360" w:lineRule="auto"/>
              <w:ind w:firstLine="480"/>
              <w:rPr>
                <w:sz w:val="24"/>
              </w:rPr>
            </w:pPr>
          </w:p>
          <w:p>
            <w:pPr>
              <w:pStyle w:val="12"/>
              <w:tabs>
                <w:tab w:val="left" w:pos="7757"/>
              </w:tabs>
              <w:spacing w:after="0" w:line="360" w:lineRule="auto"/>
              <w:ind w:left="0" w:leftChars="0" w:firstLine="480"/>
              <w:rPr>
                <w:sz w:val="24"/>
              </w:rPr>
            </w:pPr>
            <w:r>
              <w:rPr>
                <w:rFonts w:hint="eastAsia"/>
                <w:sz w:val="24"/>
              </w:rPr>
              <w:t>生产工艺流程简述：</w:t>
            </w:r>
          </w:p>
          <w:p>
            <w:pPr>
              <w:pStyle w:val="4"/>
              <w:adjustRightInd w:val="0"/>
              <w:snapToGrid w:val="0"/>
              <w:spacing w:before="0" w:after="0" w:line="360" w:lineRule="auto"/>
              <w:ind w:firstLine="480" w:firstLineChars="200"/>
              <w:rPr>
                <w:b w:val="0"/>
                <w:bCs w:val="0"/>
                <w:sz w:val="24"/>
                <w:szCs w:val="24"/>
              </w:rPr>
            </w:pPr>
            <w:r>
              <w:rPr>
                <w:b w:val="0"/>
                <w:sz w:val="24"/>
                <w:szCs w:val="24"/>
              </w:rPr>
              <w:t>从厂家购回玻璃及</w:t>
            </w:r>
            <w:r>
              <w:rPr>
                <w:rFonts w:hint="eastAsia"/>
                <w:b w:val="0"/>
                <w:sz w:val="24"/>
                <w:szCs w:val="24"/>
              </w:rPr>
              <w:t>间隔条、百叶型材</w:t>
            </w:r>
            <w:r>
              <w:rPr>
                <w:b w:val="0"/>
                <w:sz w:val="24"/>
                <w:szCs w:val="24"/>
              </w:rPr>
              <w:t>等原料后，先按规格裁制，然后再经清洗、磨边工序加工，再放入钢化炉进行钢化得到钢化玻璃。</w:t>
            </w:r>
            <w:r>
              <w:rPr>
                <w:b w:val="0"/>
                <w:bCs w:val="0"/>
                <w:sz w:val="24"/>
                <w:szCs w:val="24"/>
              </w:rPr>
              <w:t>铝材经切割工序加工后组装，然后再在钢化玻璃上铝框，最后上胶、压合、上密封胶、晾干工序加工即得中空玻璃与中空内置百叶玻璃。主要产污节点为</w:t>
            </w:r>
            <w:r>
              <w:rPr>
                <w:b w:val="0"/>
                <w:sz w:val="24"/>
                <w:szCs w:val="24"/>
              </w:rPr>
              <w:t>裁制过程中产生噪声N和玻璃边角料S，在清洗的过程中产生废水W1和噪声N，在磨边的过程中产生噪声N</w:t>
            </w:r>
            <w:r>
              <w:rPr>
                <w:rFonts w:hint="eastAsia"/>
                <w:b w:val="0"/>
                <w:sz w:val="24"/>
                <w:szCs w:val="24"/>
              </w:rPr>
              <w:t>、废气G3</w:t>
            </w:r>
            <w:r>
              <w:rPr>
                <w:b w:val="0"/>
                <w:sz w:val="24"/>
                <w:szCs w:val="24"/>
              </w:rPr>
              <w:t>和玻璃边角料S</w:t>
            </w:r>
            <w:r>
              <w:rPr>
                <w:rFonts w:hint="eastAsia"/>
                <w:b w:val="0"/>
                <w:sz w:val="24"/>
                <w:szCs w:val="24"/>
              </w:rPr>
              <w:t>5</w:t>
            </w:r>
            <w:r>
              <w:rPr>
                <w:b w:val="0"/>
                <w:sz w:val="24"/>
                <w:szCs w:val="24"/>
              </w:rPr>
              <w:t>，在上胶过程中产生废气G</w:t>
            </w:r>
            <w:r>
              <w:rPr>
                <w:rFonts w:hint="eastAsia"/>
                <w:b w:val="0"/>
                <w:sz w:val="24"/>
                <w:szCs w:val="24"/>
              </w:rPr>
              <w:t>4</w:t>
            </w:r>
            <w:r>
              <w:rPr>
                <w:b w:val="0"/>
                <w:sz w:val="24"/>
                <w:szCs w:val="24"/>
              </w:rPr>
              <w:t>,在上密封胶过程中产生废气G</w:t>
            </w:r>
            <w:r>
              <w:rPr>
                <w:rFonts w:hint="eastAsia"/>
                <w:b w:val="0"/>
                <w:sz w:val="24"/>
                <w:szCs w:val="24"/>
              </w:rPr>
              <w:t>5。</w:t>
            </w:r>
            <w:r>
              <w:rPr>
                <w:b w:val="0"/>
                <w:bCs w:val="0"/>
                <w:sz w:val="24"/>
                <w:szCs w:val="24"/>
              </w:rPr>
              <w:t>其中清洗过程产生的废水W1可以循环利用。</w:t>
            </w:r>
          </w:p>
          <w:p>
            <w:pPr>
              <w:pStyle w:val="6"/>
              <w:tabs>
                <w:tab w:val="left" w:pos="1513"/>
              </w:tabs>
              <w:spacing w:line="360" w:lineRule="auto"/>
              <w:ind w:firstLine="480"/>
              <w:rPr>
                <w:sz w:val="24"/>
              </w:rPr>
            </w:pPr>
            <w:r>
              <w:rPr>
                <w:sz w:val="24"/>
              </w:rPr>
              <w:t>主要产污节点如下：</w:t>
            </w:r>
          </w:p>
          <w:p>
            <w:pPr>
              <w:spacing w:line="360" w:lineRule="auto"/>
              <w:ind w:firstLine="360" w:firstLineChars="150"/>
              <w:rPr>
                <w:sz w:val="24"/>
              </w:rPr>
            </w:pPr>
            <w:r>
              <w:rPr>
                <w:rFonts w:hint="eastAsia"/>
                <w:sz w:val="24"/>
              </w:rPr>
              <w:t>（1）废气</w:t>
            </w:r>
          </w:p>
          <w:p>
            <w:pPr>
              <w:pStyle w:val="31"/>
              <w:spacing w:line="360" w:lineRule="auto"/>
              <w:ind w:firstLine="480" w:firstLineChars="200"/>
              <w:jc w:val="both"/>
              <w:rPr>
                <w:szCs w:val="20"/>
              </w:rPr>
            </w:pPr>
            <w:r>
              <w:rPr>
                <w:szCs w:val="20"/>
              </w:rPr>
              <w:t>本项目所用设备均以电为能源，没有燃料废气产生，废气主要来源于进</w:t>
            </w:r>
            <w:r>
              <w:rPr>
                <w:color w:val="auto"/>
                <w:szCs w:val="20"/>
              </w:rPr>
              <w:t>出夹胶玻璃</w:t>
            </w:r>
            <w:r>
              <w:rPr>
                <w:rFonts w:hint="eastAsia"/>
                <w:color w:val="auto"/>
                <w:szCs w:val="20"/>
              </w:rPr>
              <w:t>生产过程加热</w:t>
            </w:r>
            <w:r>
              <w:rPr>
                <w:color w:val="auto"/>
                <w:szCs w:val="20"/>
              </w:rPr>
              <w:t>产生的废</w:t>
            </w:r>
            <w:r>
              <w:rPr>
                <w:szCs w:val="20"/>
              </w:rPr>
              <w:t>气及中空玻璃</w:t>
            </w:r>
            <w:r>
              <w:rPr>
                <w:rFonts w:hint="eastAsia"/>
                <w:szCs w:val="20"/>
              </w:rPr>
              <w:t>涂胶、打</w:t>
            </w:r>
            <w:r>
              <w:rPr>
                <w:szCs w:val="20"/>
              </w:rPr>
              <w:t>胶工序中产生的有机废气（均以非甲烷总烃计）、</w:t>
            </w:r>
            <w:r>
              <w:t>磨边过程产生的粉尘</w:t>
            </w:r>
            <w:r>
              <w:rPr>
                <w:szCs w:val="20"/>
              </w:rPr>
              <w:t>等。</w:t>
            </w:r>
          </w:p>
          <w:p>
            <w:pPr>
              <w:pStyle w:val="31"/>
              <w:spacing w:line="360" w:lineRule="auto"/>
              <w:ind w:firstLine="480" w:firstLineChars="200"/>
              <w:jc w:val="both"/>
              <w:rPr>
                <w:bCs/>
                <w:color w:val="auto"/>
              </w:rPr>
            </w:pPr>
            <w:r>
              <w:rPr>
                <w:rFonts w:hint="eastAsia"/>
              </w:rPr>
              <w:t>（2）</w:t>
            </w:r>
            <w:r>
              <w:rPr>
                <w:rFonts w:hint="eastAsia"/>
                <w:bCs/>
                <w:color w:val="auto"/>
              </w:rPr>
              <w:t>废水</w:t>
            </w:r>
          </w:p>
          <w:p>
            <w:pPr>
              <w:spacing w:line="360" w:lineRule="auto"/>
              <w:ind w:firstLine="480" w:firstLineChars="200"/>
              <w:rPr>
                <w:color w:val="000000"/>
                <w:sz w:val="24"/>
              </w:rPr>
            </w:pPr>
            <w:r>
              <w:rPr>
                <w:sz w:val="24"/>
              </w:rPr>
              <w:t>本</w:t>
            </w:r>
            <w:r>
              <w:rPr>
                <w:color w:val="000000"/>
                <w:sz w:val="24"/>
              </w:rPr>
              <w:t>项目废水主要为职工生活污水、</w:t>
            </w:r>
            <w:r>
              <w:rPr>
                <w:rFonts w:hint="eastAsia"/>
                <w:color w:val="000000"/>
                <w:sz w:val="24"/>
              </w:rPr>
              <w:t>食堂废水、</w:t>
            </w:r>
            <w:r>
              <w:rPr>
                <w:color w:val="000000"/>
                <w:sz w:val="24"/>
              </w:rPr>
              <w:t>玻璃清洗废水、磨边废水等。</w:t>
            </w:r>
          </w:p>
          <w:p>
            <w:pPr>
              <w:pStyle w:val="45"/>
              <w:spacing w:line="360" w:lineRule="auto"/>
              <w:ind w:firstLine="480" w:firstLineChars="200"/>
              <w:rPr>
                <w:rFonts w:ascii="Times New Roman" w:cs="Times New Roman"/>
                <w:snapToGrid w:val="0"/>
                <w:color w:val="auto"/>
              </w:rPr>
            </w:pPr>
            <w:r>
              <w:rPr>
                <w:rFonts w:hint="eastAsia" w:ascii="Times New Roman" w:cs="Times New Roman"/>
                <w:snapToGrid w:val="0"/>
                <w:color w:val="auto"/>
              </w:rPr>
              <w:t>（3）噪声</w:t>
            </w:r>
          </w:p>
          <w:p>
            <w:pPr>
              <w:pStyle w:val="35"/>
              <w:spacing w:line="360" w:lineRule="auto"/>
              <w:ind w:firstLine="360" w:firstLineChars="150"/>
            </w:pPr>
            <w:r>
              <w:t>项目运营期噪声主要来自生产车间内裁制、清洗、磨边、切割、压合等工序产生的噪声，噪声值在7</w:t>
            </w:r>
            <w:r>
              <w:rPr>
                <w:rFonts w:hint="eastAsia"/>
              </w:rPr>
              <w:t>5</w:t>
            </w:r>
            <w:r>
              <w:t>dB(A)~</w:t>
            </w:r>
            <w:r>
              <w:rPr>
                <w:rFonts w:hint="eastAsia"/>
              </w:rPr>
              <w:t>90</w:t>
            </w:r>
            <w:r>
              <w:t>dB(A)。</w:t>
            </w:r>
          </w:p>
          <w:p>
            <w:pPr>
              <w:pStyle w:val="35"/>
              <w:spacing w:line="360" w:lineRule="auto"/>
              <w:ind w:firstLine="360" w:firstLineChars="150"/>
            </w:pPr>
            <w:r>
              <w:rPr>
                <w:rFonts w:hint="eastAsia"/>
              </w:rPr>
              <w:t>（4）固体废物</w:t>
            </w:r>
          </w:p>
          <w:p>
            <w:pPr>
              <w:spacing w:line="360" w:lineRule="auto"/>
              <w:ind w:firstLine="480" w:firstLineChars="200"/>
              <w:rPr>
                <w:snapToGrid w:val="0"/>
                <w:kern w:val="0"/>
                <w:sz w:val="24"/>
              </w:rPr>
            </w:pPr>
            <w:r>
              <w:rPr>
                <w:rFonts w:hint="eastAsia"/>
                <w:snapToGrid w:val="0"/>
                <w:kern w:val="0"/>
                <w:sz w:val="24"/>
              </w:rPr>
              <w:t>本项目</w:t>
            </w:r>
            <w:r>
              <w:rPr>
                <w:sz w:val="24"/>
              </w:rPr>
              <w:t>运营期产生的固体废物主要为职工产生的生活垃圾、生产过程中产生的玻璃废料</w:t>
            </w:r>
            <w:r>
              <w:rPr>
                <w:rFonts w:hint="eastAsia"/>
                <w:sz w:val="24"/>
              </w:rPr>
              <w:t>、</w:t>
            </w:r>
            <w:r>
              <w:rPr>
                <w:rFonts w:hint="eastAsia"/>
                <w:sz w:val="24"/>
                <w:lang w:eastAsia="zh-CN"/>
              </w:rPr>
              <w:t>水净化处理产生的污泥</w:t>
            </w:r>
            <w:r>
              <w:rPr>
                <w:sz w:val="24"/>
              </w:rPr>
              <w:t>及</w:t>
            </w:r>
            <w:r>
              <w:rPr>
                <w:bCs/>
                <w:sz w:val="24"/>
              </w:rPr>
              <w:t>废活性炭</w:t>
            </w:r>
            <w:r>
              <w:rPr>
                <w:sz w:val="24"/>
              </w:rPr>
              <w:t>等</w:t>
            </w:r>
          </w:p>
          <w:p>
            <w:pPr>
              <w:pStyle w:val="12"/>
              <w:spacing w:after="0" w:line="360" w:lineRule="auto"/>
              <w:ind w:left="0" w:leftChars="0" w:firstLine="562"/>
              <w:rPr>
                <w:b/>
                <w:bCs/>
                <w:color w:val="auto"/>
                <w:sz w:val="28"/>
                <w:szCs w:val="28"/>
              </w:rPr>
            </w:pPr>
            <w:r>
              <w:rPr>
                <w:b/>
                <w:bCs/>
                <w:color w:val="auto"/>
                <w:sz w:val="28"/>
                <w:szCs w:val="28"/>
              </w:rPr>
              <w:t>2.</w:t>
            </w:r>
            <w:r>
              <w:rPr>
                <w:rFonts w:hint="eastAsia"/>
                <w:b/>
                <w:bCs/>
                <w:color w:val="auto"/>
                <w:sz w:val="28"/>
                <w:szCs w:val="28"/>
              </w:rPr>
              <w:t>5项目变动情况</w:t>
            </w:r>
          </w:p>
          <w:p>
            <w:pPr>
              <w:pStyle w:val="12"/>
              <w:spacing w:after="0" w:line="360" w:lineRule="auto"/>
              <w:ind w:left="0" w:leftChars="0" w:firstLine="480"/>
              <w:rPr>
                <w:rFonts w:hint="eastAsia" w:ascii="Times New Roman" w:hAnsi="Times New Roman" w:eastAsia="宋体" w:cs="Times New Roman"/>
                <w:color w:val="auto"/>
                <w:sz w:val="24"/>
              </w:rPr>
            </w:pPr>
            <w:r>
              <w:rPr>
                <w:rFonts w:hint="eastAsia"/>
                <w:color w:val="auto"/>
                <w:sz w:val="24"/>
              </w:rPr>
              <w:t>根据现场勘查，本项目实际生产与环评一致</w:t>
            </w:r>
            <w:r>
              <w:rPr>
                <w:rFonts w:hint="eastAsia" w:ascii="Times New Roman" w:hAnsi="Times New Roman" w:eastAsia="宋体" w:cs="Times New Roman"/>
                <w:color w:val="auto"/>
                <w:sz w:val="24"/>
                <w:lang w:eastAsia="zh-CN"/>
              </w:rPr>
              <w:t>有两点不一致</w:t>
            </w:r>
            <w:r>
              <w:rPr>
                <w:rFonts w:hint="eastAsia" w:ascii="Times New Roman" w:hAnsi="Times New Roman" w:eastAsia="宋体" w:cs="Times New Roman"/>
                <w:color w:val="auto"/>
                <w:sz w:val="24"/>
              </w:rPr>
              <w:t>。</w:t>
            </w:r>
          </w:p>
          <w:p>
            <w:pPr>
              <w:numPr>
                <w:ilvl w:val="0"/>
                <w:numId w:val="0"/>
              </w:numPr>
              <w:snapToGrid w:val="0"/>
              <w:spacing w:line="480" w:lineRule="exact"/>
              <w:ind w:firstLine="480" w:firstLineChars="200"/>
              <w:rPr>
                <w:rFonts w:hint="eastAsia" w:ascii="Times New Roman" w:hAnsi="Times New Roman" w:cs="Times New Roman"/>
                <w:color w:val="auto"/>
                <w:sz w:val="24"/>
                <w:lang w:val="en-US" w:eastAsia="zh-CN"/>
              </w:rPr>
            </w:pPr>
            <w:r>
              <w:rPr>
                <w:rFonts w:hint="eastAsia"/>
                <w:snapToGrid w:val="0"/>
                <w:color w:val="auto"/>
                <w:kern w:val="0"/>
                <w:sz w:val="24"/>
                <w:lang w:eastAsia="zh-CN"/>
              </w:rPr>
              <w:t>（</w:t>
            </w:r>
            <w:r>
              <w:rPr>
                <w:rFonts w:hint="eastAsia"/>
                <w:snapToGrid w:val="0"/>
                <w:color w:val="auto"/>
                <w:kern w:val="0"/>
                <w:sz w:val="24"/>
                <w:lang w:val="en-US" w:eastAsia="zh-CN"/>
              </w:rPr>
              <w:t>1</w:t>
            </w:r>
            <w:r>
              <w:rPr>
                <w:rFonts w:hint="eastAsia" w:ascii="Times New Roman" w:hAnsi="Times New Roman" w:cs="Times New Roman"/>
                <w:color w:val="auto"/>
                <w:sz w:val="24"/>
                <w:lang w:val="en-US" w:eastAsia="zh-CN"/>
              </w:rPr>
              <w:t>）项目环评玻璃清洗废水和磨边废水经沉淀池处理后循环使用，实际运营过程中，玻璃清洗废水和磨边废水经水净化设施处理后循环使用，不外排，污染物未增加。</w:t>
            </w:r>
          </w:p>
          <w:p>
            <w:pPr>
              <w:numPr>
                <w:ilvl w:val="0"/>
                <w:numId w:val="0"/>
              </w:numPr>
              <w:snapToGrid w:val="0"/>
              <w:spacing w:line="480" w:lineRule="exact"/>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（2）环评中全自动中空生产线有4条，实际生产过程中全自动中空生产线有3条；环评中全自动四边磨边线为1条，实际生产过程中无全自动四边磨边线，磨边功能通过全自动高速磨边线代替。</w:t>
            </w:r>
          </w:p>
          <w:p>
            <w:pPr>
              <w:numPr>
                <w:ilvl w:val="0"/>
                <w:numId w:val="0"/>
              </w:numPr>
              <w:snapToGrid w:val="0"/>
              <w:spacing w:line="480" w:lineRule="exact"/>
              <w:ind w:firstLine="480" w:firstLineChars="200"/>
              <w:rPr>
                <w:rFonts w:hint="default" w:eastAsia="宋体"/>
                <w:snapToGrid w:val="0"/>
                <w:color w:val="FF0000"/>
                <w:kern w:val="0"/>
                <w:sz w:val="24"/>
                <w:lang w:val="en-US" w:eastAsia="zh-CN"/>
              </w:rPr>
            </w:pPr>
            <w:r>
              <w:rPr>
                <w:rFonts w:hint="default" w:ascii="Times New Roman" w:hAnsi="Times New Roman" w:cs="Times New Roman"/>
                <w:color w:val="auto"/>
                <w:sz w:val="24"/>
                <w:lang w:val="en-US" w:eastAsia="zh-CN"/>
              </w:rPr>
              <w:t>以上变动</w:t>
            </w:r>
            <w:r>
              <w:rPr>
                <w:rFonts w:hint="eastAsia" w:ascii="Times New Roman" w:hAnsi="Times New Roman" w:cs="Times New Roman"/>
                <w:color w:val="auto"/>
                <w:sz w:val="24"/>
                <w:lang w:val="en-US" w:eastAsia="zh-CN"/>
              </w:rPr>
              <w:t>产污环节未增加，且对照《关于印发环评管理中部分行业建设项目重大变动清单的通知》以上均不属于重大变动，故本项目对照环评建设无重大变动。</w:t>
            </w:r>
          </w:p>
        </w:tc>
      </w:tr>
    </w:tbl>
    <w:p>
      <w:pPr>
        <w:rPr>
          <w:b/>
          <w:bCs/>
          <w:sz w:val="32"/>
          <w:szCs w:val="32"/>
        </w:rPr>
      </w:pPr>
    </w:p>
    <w:p>
      <w:pPr>
        <w:rPr>
          <w:b/>
          <w:bCs/>
          <w:sz w:val="32"/>
          <w:szCs w:val="32"/>
        </w:rPr>
      </w:pPr>
      <w:r>
        <w:rPr>
          <w:b/>
          <w:bCs/>
          <w:sz w:val="32"/>
          <w:szCs w:val="32"/>
        </w:rPr>
        <w:t>表</w:t>
      </w:r>
      <w:r>
        <w:rPr>
          <w:rFonts w:hint="eastAsia"/>
          <w:b/>
          <w:bCs/>
          <w:sz w:val="32"/>
          <w:szCs w:val="32"/>
        </w:rPr>
        <w:t>三</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tcPr>
          <w:p>
            <w:pPr>
              <w:tabs>
                <w:tab w:val="left" w:pos="5250"/>
              </w:tabs>
              <w:spacing w:line="360" w:lineRule="auto"/>
              <w:rPr>
                <w:b/>
                <w:color w:val="auto"/>
                <w:sz w:val="28"/>
                <w:szCs w:val="28"/>
              </w:rPr>
            </w:pPr>
            <w:r>
              <w:rPr>
                <w:rFonts w:hint="eastAsia"/>
                <w:b/>
                <w:sz w:val="28"/>
                <w:szCs w:val="28"/>
              </w:rPr>
              <w:t>3.1</w:t>
            </w:r>
            <w:r>
              <w:rPr>
                <w:rFonts w:hint="eastAsia"/>
                <w:b/>
                <w:color w:val="auto"/>
                <w:sz w:val="28"/>
                <w:szCs w:val="28"/>
              </w:rPr>
              <w:t>主要污染源、污染物处理和排放</w:t>
            </w:r>
          </w:p>
          <w:p>
            <w:pPr>
              <w:adjustRightInd w:val="0"/>
              <w:snapToGrid w:val="0"/>
              <w:spacing w:line="360" w:lineRule="auto"/>
              <w:rPr>
                <w:sz w:val="24"/>
              </w:rPr>
            </w:pPr>
            <w:r>
              <w:rPr>
                <w:rFonts w:hint="eastAsia"/>
                <w:b/>
                <w:sz w:val="24"/>
              </w:rPr>
              <w:t>3.1.1</w:t>
            </w:r>
            <w:r>
              <w:rPr>
                <w:b/>
                <w:sz w:val="24"/>
              </w:rPr>
              <w:t>废</w:t>
            </w:r>
            <w:r>
              <w:rPr>
                <w:rFonts w:hint="eastAsia"/>
                <w:b/>
                <w:sz w:val="24"/>
              </w:rPr>
              <w:t>气</w:t>
            </w:r>
          </w:p>
          <w:p>
            <w:pPr>
              <w:adjustRightInd w:val="0"/>
              <w:snapToGrid w:val="0"/>
              <w:spacing w:line="360" w:lineRule="auto"/>
              <w:ind w:firstLine="480" w:firstLineChars="200"/>
              <w:rPr>
                <w:sz w:val="24"/>
              </w:rPr>
            </w:pPr>
            <w:r>
              <w:rPr>
                <w:rFonts w:hint="eastAsia"/>
                <w:sz w:val="24"/>
              </w:rPr>
              <w:t>本项目废气来源于夹胶玻璃有机废气和</w:t>
            </w:r>
            <w:r>
              <w:rPr>
                <w:rFonts w:hint="eastAsia"/>
                <w:sz w:val="24"/>
                <w:szCs w:val="20"/>
              </w:rPr>
              <w:t>中空玻璃涂胶、打胶工序中产生的有机废气</w:t>
            </w:r>
            <w:r>
              <w:rPr>
                <w:rFonts w:hint="eastAsia"/>
                <w:sz w:val="24"/>
              </w:rPr>
              <w:t>，</w:t>
            </w:r>
            <w:r>
              <w:rPr>
                <w:sz w:val="24"/>
              </w:rPr>
              <w:t>主要污染物为</w:t>
            </w:r>
            <w:r>
              <w:rPr>
                <w:rFonts w:hint="eastAsia"/>
                <w:sz w:val="24"/>
              </w:rPr>
              <w:t>非甲烷总烃</w:t>
            </w:r>
            <w:r>
              <w:rPr>
                <w:sz w:val="24"/>
              </w:rPr>
              <w:t>。</w:t>
            </w:r>
            <w:r>
              <w:rPr>
                <w:rFonts w:hint="eastAsia"/>
                <w:bCs/>
                <w:color w:val="000000"/>
                <w:sz w:val="24"/>
              </w:rPr>
              <w:t>3#厂房设置</w:t>
            </w:r>
            <w:r>
              <w:rPr>
                <w:bCs/>
                <w:color w:val="000000"/>
                <w:sz w:val="24"/>
              </w:rPr>
              <w:t>集气罩将夹胶玻璃有机废气和中空玻璃涂胶、打胶废气收集后经二级活性炭吸附后通过15米高排气筒排放</w:t>
            </w:r>
            <w:r>
              <w:rPr>
                <w:rFonts w:hint="eastAsia"/>
                <w:bCs/>
                <w:color w:val="000000"/>
                <w:sz w:val="24"/>
              </w:rPr>
              <w:t>。</w:t>
            </w:r>
            <w:r>
              <w:rPr>
                <w:rFonts w:hint="eastAsia"/>
                <w:sz w:val="24"/>
              </w:rPr>
              <w:t>项目产生废气均能得到合理的处理措施,对周边环境影响较小。</w:t>
            </w:r>
          </w:p>
          <w:p>
            <w:pPr>
              <w:tabs>
                <w:tab w:val="left" w:pos="1446"/>
              </w:tabs>
              <w:adjustRightInd w:val="0"/>
              <w:snapToGrid w:val="0"/>
              <w:spacing w:line="360" w:lineRule="auto"/>
              <w:rPr>
                <w:b/>
                <w:sz w:val="24"/>
              </w:rPr>
            </w:pPr>
            <w:r>
              <w:rPr>
                <w:rFonts w:hint="eastAsia"/>
                <w:b/>
                <w:sz w:val="24"/>
              </w:rPr>
              <w:t>3.1.2</w:t>
            </w:r>
            <w:r>
              <w:rPr>
                <w:b/>
                <w:sz w:val="24"/>
              </w:rPr>
              <w:t>废</w:t>
            </w:r>
            <w:r>
              <w:rPr>
                <w:rFonts w:hint="eastAsia"/>
                <w:b/>
                <w:sz w:val="24"/>
              </w:rPr>
              <w:t>水</w:t>
            </w:r>
          </w:p>
          <w:p>
            <w:pPr>
              <w:spacing w:line="360" w:lineRule="auto"/>
              <w:ind w:firstLine="480"/>
              <w:rPr>
                <w:rFonts w:ascii="宋体" w:hAnsi="宋体" w:cs="宋体"/>
                <w:color w:val="000000"/>
                <w:sz w:val="24"/>
              </w:rPr>
            </w:pPr>
            <w:r>
              <w:rPr>
                <w:rFonts w:hint="eastAsia" w:ascii="宋体" w:hAnsi="宋体" w:cs="宋体"/>
                <w:color w:val="000000"/>
                <w:sz w:val="24"/>
              </w:rPr>
              <w:t>本项目运营期产生的废水主要为生活污水、食堂废水。生活污水、食堂废水经化粪池处理后进入联熹污水处理厂，达到联熹污水处理厂接管标准和《污水综合排放标准》</w:t>
            </w:r>
            <w:r>
              <w:rPr>
                <w:color w:val="000000"/>
                <w:sz w:val="24"/>
              </w:rPr>
              <w:t>（GB8978-1996）</w:t>
            </w:r>
            <w:r>
              <w:rPr>
                <w:rFonts w:hint="eastAsia" w:ascii="宋体" w:hAnsi="宋体" w:cs="宋体"/>
                <w:color w:val="000000"/>
                <w:sz w:val="24"/>
              </w:rPr>
              <w:t>三级标准后，通过市政污水管网，进入联熹污水处理厂，处理达标后排入店埠河。</w:t>
            </w:r>
          </w:p>
          <w:p>
            <w:pPr>
              <w:adjustRightInd w:val="0"/>
              <w:snapToGrid w:val="0"/>
              <w:spacing w:before="156" w:beforeLines="50" w:line="360" w:lineRule="auto"/>
              <w:rPr>
                <w:b/>
                <w:bCs/>
                <w:sz w:val="24"/>
              </w:rPr>
            </w:pPr>
            <w:r>
              <w:rPr>
                <w:b/>
                <w:bCs/>
                <w:sz w:val="24"/>
              </w:rPr>
              <w:t>3.</w:t>
            </w:r>
            <w:r>
              <w:rPr>
                <w:rFonts w:hint="eastAsia"/>
                <w:b/>
                <w:bCs/>
                <w:sz w:val="24"/>
              </w:rPr>
              <w:t>1.3</w:t>
            </w:r>
            <w:r>
              <w:rPr>
                <w:b/>
                <w:bCs/>
                <w:sz w:val="24"/>
              </w:rPr>
              <w:t>噪声</w:t>
            </w:r>
          </w:p>
          <w:p>
            <w:pPr>
              <w:adjustRightInd w:val="0"/>
              <w:snapToGrid w:val="0"/>
              <w:spacing w:line="360" w:lineRule="auto"/>
              <w:ind w:firstLine="480" w:firstLineChars="200"/>
              <w:rPr>
                <w:sz w:val="24"/>
              </w:rPr>
            </w:pPr>
            <w:r>
              <w:rPr>
                <w:rFonts w:hint="eastAsia"/>
                <w:sz w:val="24"/>
              </w:rPr>
              <w:t>本项目的主要噪声源为</w:t>
            </w:r>
            <w:r>
              <w:rPr>
                <w:rFonts w:hint="eastAsia"/>
                <w:bCs/>
                <w:sz w:val="24"/>
              </w:rPr>
              <w:t>数控玻璃切割、全自动四边磨、全自动高速磨边、丁基胶涂布机</w:t>
            </w:r>
            <w:r>
              <w:rPr>
                <w:rFonts w:hint="eastAsia"/>
                <w:sz w:val="24"/>
              </w:rPr>
              <w:t>等设备，声级值约在6</w:t>
            </w:r>
            <w:r>
              <w:rPr>
                <w:sz w:val="24"/>
              </w:rPr>
              <w:t>5</w:t>
            </w:r>
            <w:r>
              <w:rPr>
                <w:rFonts w:hint="eastAsia"/>
                <w:sz w:val="24"/>
              </w:rPr>
              <w:t>～9</w:t>
            </w:r>
            <w:r>
              <w:rPr>
                <w:sz w:val="24"/>
              </w:rPr>
              <w:t>0dB(A)</w:t>
            </w:r>
            <w:r>
              <w:rPr>
                <w:rFonts w:hint="eastAsia"/>
                <w:sz w:val="24"/>
              </w:rPr>
              <w:t>。由于有厂房阻隔，对项目噪声能起到减弱作用，因此，在采取减振、降噪等措施后，项目的厂界噪声可以达到《工业企业厂界环境噪声排放标准》（</w:t>
            </w:r>
            <w:r>
              <w:rPr>
                <w:sz w:val="24"/>
              </w:rPr>
              <w:t>GB12348-2008</w:t>
            </w:r>
            <w:r>
              <w:rPr>
                <w:rFonts w:hint="eastAsia"/>
                <w:sz w:val="24"/>
              </w:rPr>
              <w:t>）中</w:t>
            </w:r>
            <w:r>
              <w:rPr>
                <w:sz w:val="24"/>
              </w:rPr>
              <w:t>3</w:t>
            </w:r>
            <w:r>
              <w:rPr>
                <w:rFonts w:hint="eastAsia"/>
                <w:sz w:val="24"/>
              </w:rPr>
              <w:t>类标准要求。</w:t>
            </w:r>
          </w:p>
          <w:p>
            <w:pPr>
              <w:adjustRightInd w:val="0"/>
              <w:snapToGrid w:val="0"/>
              <w:spacing w:line="360" w:lineRule="auto"/>
              <w:rPr>
                <w:bCs/>
                <w:sz w:val="24"/>
              </w:rPr>
            </w:pPr>
            <w:r>
              <w:rPr>
                <w:b/>
                <w:sz w:val="24"/>
              </w:rPr>
              <w:t>3.</w:t>
            </w:r>
            <w:r>
              <w:rPr>
                <w:rFonts w:hint="eastAsia"/>
                <w:b/>
                <w:sz w:val="24"/>
              </w:rPr>
              <w:t>1.4</w:t>
            </w:r>
            <w:r>
              <w:rPr>
                <w:b/>
                <w:sz w:val="24"/>
              </w:rPr>
              <w:t>固体废物</w:t>
            </w:r>
          </w:p>
          <w:p>
            <w:pPr>
              <w:adjustRightInd w:val="0"/>
              <w:snapToGrid w:val="0"/>
              <w:spacing w:line="460" w:lineRule="exact"/>
              <w:ind w:firstLine="480" w:firstLineChars="200"/>
              <w:rPr>
                <w:rFonts w:hint="eastAsia"/>
                <w:sz w:val="24"/>
              </w:rPr>
            </w:pPr>
            <w:r>
              <w:rPr>
                <w:sz w:val="24"/>
              </w:rPr>
              <w:t>厂区</w:t>
            </w:r>
            <w:r>
              <w:rPr>
                <w:rFonts w:hint="eastAsia"/>
                <w:sz w:val="24"/>
              </w:rPr>
              <w:t>产生的</w:t>
            </w:r>
            <w:r>
              <w:rPr>
                <w:sz w:val="24"/>
              </w:rPr>
              <w:t>固废主要包括</w:t>
            </w:r>
            <w:r>
              <w:rPr>
                <w:rFonts w:hint="eastAsia"/>
                <w:bCs/>
                <w:sz w:val="24"/>
              </w:rPr>
              <w:t>职工生活垃圾、废玻璃、边角料、</w:t>
            </w:r>
            <w:r>
              <w:rPr>
                <w:rFonts w:hint="eastAsia"/>
                <w:sz w:val="24"/>
              </w:rPr>
              <w:t>更换的</w:t>
            </w:r>
            <w:r>
              <w:rPr>
                <w:rFonts w:hint="eastAsia"/>
                <w:bCs/>
                <w:sz w:val="24"/>
              </w:rPr>
              <w:t>废活性炭、废包装物、废胶桶及</w:t>
            </w:r>
            <w:r>
              <w:rPr>
                <w:rFonts w:hint="eastAsia"/>
                <w:bCs/>
                <w:sz w:val="24"/>
                <w:lang w:eastAsia="zh-CN"/>
              </w:rPr>
              <w:t>水净化处理产生的污泥</w:t>
            </w:r>
            <w:r>
              <w:rPr>
                <w:sz w:val="24"/>
              </w:rPr>
              <w:t>。</w:t>
            </w:r>
            <w:r>
              <w:rPr>
                <w:rFonts w:hint="eastAsia"/>
                <w:sz w:val="24"/>
              </w:rPr>
              <w:t>职工生活垃圾委托环卫部门处置；废玻璃、边角料由玻璃生产厂家回收再利用；</w:t>
            </w:r>
            <w:r>
              <w:rPr>
                <w:rFonts w:hint="eastAsia" w:ascii="Times New Roman" w:hAnsi="Times New Roman" w:eastAsia="宋体" w:cs="Times New Roman"/>
                <w:sz w:val="24"/>
                <w:lang w:val="en-US" w:eastAsia="zh-CN"/>
              </w:rPr>
              <w:t>水净化处理产生的污泥</w:t>
            </w:r>
            <w:r>
              <w:rPr>
                <w:rFonts w:hint="eastAsia" w:ascii="Times New Roman" w:hAnsi="Times New Roman" w:eastAsia="宋体" w:cs="Times New Roman"/>
                <w:sz w:val="24"/>
              </w:rPr>
              <w:t>及废包装物</w:t>
            </w:r>
            <w:r>
              <w:rPr>
                <w:rFonts w:hint="eastAsia"/>
                <w:sz w:val="24"/>
              </w:rPr>
              <w:t>外售；废活性炭、废胶桶</w:t>
            </w:r>
            <w:r>
              <w:rPr>
                <w:sz w:val="24"/>
              </w:rPr>
              <w:t>分类收集后暂存于危废暂存间，交由</w:t>
            </w:r>
            <w:r>
              <w:rPr>
                <w:rFonts w:hint="eastAsia" w:ascii="宋体" w:hAnsi="宋体"/>
                <w:sz w:val="24"/>
              </w:rPr>
              <w:t>安徽上峰杰夏环保科技有限责任公司</w:t>
            </w:r>
            <w:r>
              <w:rPr>
                <w:sz w:val="24"/>
              </w:rPr>
              <w:t>处置</w:t>
            </w:r>
            <w:r>
              <w:rPr>
                <w:rFonts w:hint="eastAsia"/>
                <w:sz w:val="24"/>
              </w:rPr>
              <w:t>。</w:t>
            </w:r>
          </w:p>
          <w:p>
            <w:pPr>
              <w:pStyle w:val="9"/>
              <w:rPr>
                <w:rFonts w:hint="default" w:eastAsia="宋体"/>
                <w:b/>
                <w:bCs/>
                <w:color w:val="auto"/>
                <w:sz w:val="24"/>
                <w:szCs w:val="24"/>
                <w:lang w:val="en-US" w:eastAsia="zh-CN"/>
              </w:rPr>
            </w:pPr>
            <w:r>
              <w:rPr>
                <w:rFonts w:hint="eastAsia"/>
                <w:b/>
                <w:bCs/>
                <w:color w:val="auto"/>
                <w:sz w:val="24"/>
                <w:szCs w:val="24"/>
                <w:lang w:eastAsia="zh-CN"/>
              </w:rPr>
              <w:t>表</w:t>
            </w:r>
            <w:r>
              <w:rPr>
                <w:rFonts w:hint="eastAsia"/>
                <w:b/>
                <w:bCs/>
                <w:color w:val="auto"/>
                <w:sz w:val="24"/>
                <w:szCs w:val="24"/>
                <w:lang w:val="en-US" w:eastAsia="zh-CN"/>
              </w:rPr>
              <w:t>3-1建设项目固废产生的源强</w:t>
            </w:r>
          </w:p>
          <w:tbl>
            <w:tblPr>
              <w:tblStyle w:val="2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421"/>
              <w:gridCol w:w="1730"/>
              <w:gridCol w:w="1009"/>
              <w:gridCol w:w="1128"/>
              <w:gridCol w:w="866"/>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421"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废物来源</w:t>
                  </w:r>
                </w:p>
              </w:tc>
              <w:tc>
                <w:tcPr>
                  <w:tcW w:w="1730"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1009"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性状</w:t>
                  </w:r>
                </w:p>
              </w:tc>
              <w:tc>
                <w:tcPr>
                  <w:tcW w:w="1128"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属性</w:t>
                  </w:r>
                </w:p>
              </w:tc>
              <w:tc>
                <w:tcPr>
                  <w:tcW w:w="866"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tc>
              <w:tc>
                <w:tcPr>
                  <w:tcW w:w="2353" w:type="dxa"/>
                  <w:noWrap w:val="0"/>
                  <w:vAlign w:val="center"/>
                </w:tcPr>
                <w:p>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拟采取的处理方式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7"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21" w:type="dxa"/>
                  <w:noWrap w:val="0"/>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生活垃圾</w:t>
                  </w:r>
                </w:p>
              </w:tc>
              <w:tc>
                <w:tcPr>
                  <w:tcW w:w="1730" w:type="dxa"/>
                  <w:noWrap w:val="0"/>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生活垃圾</w:t>
                  </w:r>
                </w:p>
              </w:tc>
              <w:tc>
                <w:tcPr>
                  <w:tcW w:w="1009"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1128"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w:t>
                  </w:r>
                </w:p>
              </w:tc>
              <w:tc>
                <w:tcPr>
                  <w:tcW w:w="866" w:type="dxa"/>
                  <w:noWrap w:val="0"/>
                  <w:vAlign w:val="center"/>
                </w:tcPr>
                <w:p>
                  <w:pPr>
                    <w:snapToGrid w:val="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lang w:val="en-US" w:eastAsia="zh-CN"/>
                    </w:rPr>
                    <w:t>21.5</w:t>
                  </w:r>
                  <w:r>
                    <w:rPr>
                      <w:rFonts w:hint="default" w:ascii="Times New Roman" w:hAnsi="Times New Roman" w:cs="Times New Roman"/>
                      <w:color w:val="auto"/>
                      <w:sz w:val="21"/>
                      <w:szCs w:val="21"/>
                      <w:highlight w:val="none"/>
                    </w:rPr>
                    <w:t>t/a</w:t>
                  </w:r>
                </w:p>
              </w:tc>
              <w:tc>
                <w:tcPr>
                  <w:tcW w:w="2353" w:type="dxa"/>
                  <w:noWrap w:val="0"/>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委托环卫部门处置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847"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421" w:type="dxa"/>
                  <w:noWrap w:val="0"/>
                  <w:vAlign w:val="center"/>
                </w:tcPr>
                <w:p>
                  <w:pPr>
                    <w:pStyle w:val="51"/>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lang w:val="en-US" w:eastAsia="zh-CN"/>
                    </w:rPr>
                    <w:t>生产厂房</w:t>
                  </w:r>
                </w:p>
              </w:tc>
              <w:tc>
                <w:tcPr>
                  <w:tcW w:w="1730" w:type="dxa"/>
                  <w:noWrap w:val="0"/>
                  <w:vAlign w:val="center"/>
                </w:tcPr>
                <w:p>
                  <w:pPr>
                    <w:pStyle w:val="51"/>
                    <w:jc w:val="center"/>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废玻璃、边角料</w:t>
                  </w:r>
                </w:p>
              </w:tc>
              <w:tc>
                <w:tcPr>
                  <w:tcW w:w="1009"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1128"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w:t>
                  </w:r>
                </w:p>
              </w:tc>
              <w:tc>
                <w:tcPr>
                  <w:tcW w:w="866"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cs="Times New Roman"/>
                      <w:color w:val="auto"/>
                      <w:sz w:val="21"/>
                      <w:szCs w:val="21"/>
                      <w:highlight w:val="none"/>
                    </w:rPr>
                    <w:t>t/a</w:t>
                  </w:r>
                </w:p>
              </w:tc>
              <w:tc>
                <w:tcPr>
                  <w:tcW w:w="2353" w:type="dxa"/>
                  <w:noWrap w:val="0"/>
                  <w:vAlign w:val="center"/>
                </w:tcPr>
                <w:p>
                  <w:pPr>
                    <w:pStyle w:val="51"/>
                    <w:jc w:val="center"/>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由玻璃生产厂家回收再利用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7"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421" w:type="dxa"/>
                  <w:noWrap w:val="0"/>
                  <w:vAlign w:val="center"/>
                </w:tcPr>
                <w:p>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生产厂房</w:t>
                  </w:r>
                </w:p>
              </w:tc>
              <w:tc>
                <w:tcPr>
                  <w:tcW w:w="1730" w:type="dxa"/>
                  <w:noWrap w:val="0"/>
                  <w:vAlign w:val="center"/>
                </w:tcPr>
                <w:p>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水净化处理产生的污泥</w:t>
                  </w:r>
                </w:p>
              </w:tc>
              <w:tc>
                <w:tcPr>
                  <w:tcW w:w="1009" w:type="dxa"/>
                  <w:noWrap w:val="0"/>
                  <w:vAlign w:val="center"/>
                </w:tcPr>
                <w:p>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固态</w:t>
                  </w:r>
                </w:p>
              </w:tc>
              <w:tc>
                <w:tcPr>
                  <w:tcW w:w="1128" w:type="dxa"/>
                  <w:noWrap w:val="0"/>
                  <w:vAlign w:val="center"/>
                </w:tcPr>
                <w:p>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一般固废</w:t>
                  </w:r>
                </w:p>
              </w:tc>
              <w:tc>
                <w:tcPr>
                  <w:tcW w:w="866" w:type="dxa"/>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default" w:ascii="Times New Roman" w:hAnsi="Times New Roman" w:cs="Times New Roman"/>
                      <w:color w:val="auto"/>
                      <w:sz w:val="21"/>
                      <w:szCs w:val="21"/>
                      <w:highlight w:val="none"/>
                    </w:rPr>
                    <w:t>t/a</w:t>
                  </w:r>
                </w:p>
              </w:tc>
              <w:tc>
                <w:tcPr>
                  <w:tcW w:w="2353" w:type="dxa"/>
                  <w:noWrap w:val="0"/>
                  <w:vAlign w:val="center"/>
                </w:tcPr>
                <w:p>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847"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421" w:type="dxa"/>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生产厂房</w:t>
                  </w:r>
                </w:p>
              </w:tc>
              <w:tc>
                <w:tcPr>
                  <w:tcW w:w="1730" w:type="dxa"/>
                  <w:noWrap w:val="0"/>
                  <w:vAlign w:val="center"/>
                </w:tcPr>
                <w:p>
                  <w:pPr>
                    <w:pStyle w:val="51"/>
                    <w:jc w:val="center"/>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废包装物</w:t>
                  </w:r>
                </w:p>
              </w:tc>
              <w:tc>
                <w:tcPr>
                  <w:tcW w:w="1009" w:type="dxa"/>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固态</w:t>
                  </w:r>
                </w:p>
              </w:tc>
              <w:tc>
                <w:tcPr>
                  <w:tcW w:w="1128" w:type="dxa"/>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w:t>
                  </w:r>
                </w:p>
              </w:tc>
              <w:tc>
                <w:tcPr>
                  <w:tcW w:w="866"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r>
                    <w:rPr>
                      <w:rFonts w:hint="default" w:ascii="Times New Roman" w:hAnsi="Times New Roman" w:cs="Times New Roman"/>
                      <w:color w:val="auto"/>
                      <w:sz w:val="21"/>
                      <w:szCs w:val="21"/>
                      <w:highlight w:val="none"/>
                      <w:lang w:val="en-US" w:eastAsia="zh-CN"/>
                    </w:rPr>
                    <w:t>t/a</w:t>
                  </w:r>
                </w:p>
              </w:tc>
              <w:tc>
                <w:tcPr>
                  <w:tcW w:w="2353" w:type="dxa"/>
                  <w:noWrap w:val="0"/>
                  <w:vAlign w:val="center"/>
                </w:tcPr>
                <w:p>
                  <w:pPr>
                    <w:pStyle w:val="51"/>
                    <w:jc w:val="center"/>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7"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421" w:type="dxa"/>
                  <w:noWrap w:val="0"/>
                  <w:vAlign w:val="center"/>
                </w:tcPr>
                <w:p>
                  <w:pPr>
                    <w:pStyle w:val="51"/>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生产厂房</w:t>
                  </w:r>
                </w:p>
              </w:tc>
              <w:tc>
                <w:tcPr>
                  <w:tcW w:w="1730" w:type="dxa"/>
                  <w:noWrap w:val="0"/>
                  <w:vAlign w:val="center"/>
                </w:tcPr>
                <w:p>
                  <w:pPr>
                    <w:pStyle w:val="51"/>
                    <w:jc w:val="center"/>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废活性炭</w:t>
                  </w:r>
                </w:p>
              </w:tc>
              <w:tc>
                <w:tcPr>
                  <w:tcW w:w="1009" w:type="dxa"/>
                  <w:noWrap w:val="0"/>
                  <w:vAlign w:val="center"/>
                </w:tcPr>
                <w:p>
                  <w:pPr>
                    <w:snapToGrid w:val="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固态</w:t>
                  </w:r>
                </w:p>
              </w:tc>
              <w:tc>
                <w:tcPr>
                  <w:tcW w:w="1128"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866"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4.17</w:t>
                  </w:r>
                  <w:r>
                    <w:rPr>
                      <w:rFonts w:hint="default" w:ascii="Times New Roman" w:hAnsi="Times New Roman" w:cs="Times New Roman"/>
                      <w:color w:val="auto"/>
                      <w:sz w:val="21"/>
                      <w:szCs w:val="21"/>
                      <w:highlight w:val="none"/>
                      <w:lang w:val="en-US" w:eastAsia="zh-CN"/>
                    </w:rPr>
                    <w:t>t/a</w:t>
                  </w:r>
                </w:p>
              </w:tc>
              <w:tc>
                <w:tcPr>
                  <w:tcW w:w="2353" w:type="dxa"/>
                  <w:noWrap w:val="0"/>
                  <w:vAlign w:val="center"/>
                </w:tcPr>
                <w:p>
                  <w:pPr>
                    <w:pStyle w:val="51"/>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暂存于危废暂存间，定期委托安徽上峰杰夏环保科技有限责任公司处理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7" w:type="dxa"/>
                  <w:noWrap w:val="0"/>
                  <w:vAlign w:val="center"/>
                </w:tcPr>
                <w:p>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421" w:type="dxa"/>
                  <w:noWrap w:val="0"/>
                  <w:vAlign w:val="center"/>
                </w:tcPr>
                <w:p>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生产厂房</w:t>
                  </w:r>
                </w:p>
              </w:tc>
              <w:tc>
                <w:tcPr>
                  <w:tcW w:w="1730" w:type="dxa"/>
                  <w:noWrap w:val="0"/>
                  <w:vAlign w:val="center"/>
                </w:tcPr>
                <w:p>
                  <w:pPr>
                    <w:pStyle w:val="51"/>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废胶桶</w:t>
                  </w:r>
                </w:p>
              </w:tc>
              <w:tc>
                <w:tcPr>
                  <w:tcW w:w="1009" w:type="dxa"/>
                  <w:noWrap w:val="0"/>
                  <w:vAlign w:val="center"/>
                </w:tcPr>
                <w:p>
                  <w:pPr>
                    <w:snapToGrid w:val="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固态</w:t>
                  </w:r>
                </w:p>
              </w:tc>
              <w:tc>
                <w:tcPr>
                  <w:tcW w:w="1128" w:type="dxa"/>
                  <w:noWrap w:val="0"/>
                  <w:vAlign w:val="center"/>
                </w:tcPr>
                <w:p>
                  <w:pPr>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866" w:type="dxa"/>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default" w:ascii="Times New Roman" w:hAnsi="Times New Roman" w:cs="Times New Roman"/>
                      <w:color w:val="auto"/>
                      <w:sz w:val="21"/>
                      <w:szCs w:val="21"/>
                      <w:highlight w:val="none"/>
                      <w:lang w:val="en-US" w:eastAsia="zh-CN"/>
                    </w:rPr>
                    <w:t>t/a</w:t>
                  </w:r>
                </w:p>
              </w:tc>
              <w:tc>
                <w:tcPr>
                  <w:tcW w:w="2353" w:type="dxa"/>
                  <w:noWrap w:val="0"/>
                  <w:vAlign w:val="center"/>
                </w:tcPr>
                <w:p>
                  <w:pPr>
                    <w:pStyle w:val="51"/>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暂存于危废暂存间，定期委托安徽上峰杰夏环保科技有限责任公司处理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135" w:type="dxa"/>
                  <w:gridSpan w:val="5"/>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合计</w:t>
                  </w:r>
                </w:p>
              </w:tc>
              <w:tc>
                <w:tcPr>
                  <w:tcW w:w="866"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30.57</w:t>
                  </w:r>
                  <w:r>
                    <w:rPr>
                      <w:rFonts w:hint="default" w:ascii="Times New Roman" w:hAnsi="Times New Roman" w:cs="Times New Roman"/>
                      <w:color w:val="auto"/>
                      <w:sz w:val="21"/>
                      <w:szCs w:val="21"/>
                      <w:highlight w:val="none"/>
                    </w:rPr>
                    <w:t>t/a</w:t>
                  </w:r>
                </w:p>
              </w:tc>
              <w:tc>
                <w:tcPr>
                  <w:tcW w:w="2353"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pPr>
              <w:adjustRightInd w:val="0"/>
              <w:snapToGrid w:val="0"/>
              <w:spacing w:line="460" w:lineRule="exact"/>
              <w:ind w:firstLine="480" w:firstLineChars="200"/>
              <w:rPr>
                <w:sz w:val="24"/>
              </w:rPr>
            </w:pPr>
            <w:r>
              <w:rPr>
                <w:sz w:val="24"/>
              </w:rPr>
              <w:t>通过采取以上措施，建设项目各项固体废物均能得到有效处置，处置方案可行，经过以上处置措施后可达到零排放,不会产生二次污染。</w:t>
            </w:r>
          </w:p>
          <w:p>
            <w:pPr>
              <w:spacing w:line="360" w:lineRule="auto"/>
              <w:rPr>
                <w:b/>
                <w:sz w:val="28"/>
                <w:szCs w:val="28"/>
              </w:rPr>
            </w:pPr>
            <w:r>
              <w:rPr>
                <w:rFonts w:hint="eastAsia"/>
                <w:b/>
                <w:sz w:val="28"/>
                <w:szCs w:val="28"/>
              </w:rPr>
              <w:t>3.2环保投资</w:t>
            </w:r>
          </w:p>
          <w:p>
            <w:pPr>
              <w:spacing w:line="360" w:lineRule="auto"/>
              <w:ind w:firstLine="480" w:firstLineChars="200"/>
              <w:jc w:val="left"/>
              <w:rPr>
                <w:rFonts w:hAnsi="宋体"/>
                <w:sz w:val="24"/>
              </w:rPr>
            </w:pPr>
            <w:r>
              <w:rPr>
                <w:rFonts w:hint="eastAsia" w:hAnsi="宋体"/>
                <w:sz w:val="24"/>
              </w:rPr>
              <w:t>本</w:t>
            </w:r>
            <w:r>
              <w:rPr>
                <w:rFonts w:hAnsi="宋体"/>
                <w:sz w:val="24"/>
              </w:rPr>
              <w:t>项目总投资</w:t>
            </w:r>
            <w:r>
              <w:rPr>
                <w:rFonts w:hint="eastAsia" w:hAnsi="宋体"/>
                <w:sz w:val="24"/>
              </w:rPr>
              <w:t>14000万</w:t>
            </w:r>
            <w:r>
              <w:rPr>
                <w:rFonts w:hAnsi="宋体"/>
                <w:sz w:val="24"/>
              </w:rPr>
              <w:t>元，</w:t>
            </w:r>
            <w:r>
              <w:rPr>
                <w:rFonts w:hint="eastAsia" w:hAnsi="宋体"/>
                <w:sz w:val="24"/>
              </w:rPr>
              <w:t>环保投资60万元，占总投资额的0.43%</w:t>
            </w:r>
            <w:r>
              <w:rPr>
                <w:rFonts w:hAnsi="宋体"/>
                <w:sz w:val="24"/>
              </w:rPr>
              <w:t>。项目环保设施及其投资情况</w:t>
            </w:r>
            <w:r>
              <w:rPr>
                <w:rFonts w:hint="eastAsia" w:hAnsi="宋体"/>
                <w:sz w:val="24"/>
              </w:rPr>
              <w:t xml:space="preserve">见表3-4。                                                                                                                                                                                                                                                                                                                                                                                                                                                                         </w:t>
            </w:r>
          </w:p>
          <w:p>
            <w:pPr>
              <w:tabs>
                <w:tab w:val="center" w:pos="4765"/>
                <w:tab w:val="left" w:pos="6420"/>
              </w:tabs>
              <w:adjustRightInd w:val="0"/>
              <w:snapToGrid w:val="0"/>
              <w:spacing w:line="360" w:lineRule="auto"/>
              <w:jc w:val="center"/>
              <w:rPr>
                <w:bCs/>
                <w:szCs w:val="21"/>
              </w:rPr>
            </w:pPr>
            <w:r>
              <w:rPr>
                <w:b/>
                <w:szCs w:val="21"/>
              </w:rPr>
              <w:t>表3-</w:t>
            </w:r>
            <w:r>
              <w:rPr>
                <w:rFonts w:hint="eastAsia"/>
                <w:b/>
                <w:szCs w:val="21"/>
              </w:rPr>
              <w:t>4</w:t>
            </w:r>
            <w:r>
              <w:rPr>
                <w:b/>
                <w:szCs w:val="21"/>
              </w:rPr>
              <w:t xml:space="preserve">  建设项目环保投资一览表</w:t>
            </w:r>
            <w:r>
              <w:rPr>
                <w:rFonts w:hint="eastAsia"/>
                <w:b/>
                <w:szCs w:val="21"/>
              </w:rPr>
              <w:t xml:space="preserve">      </w:t>
            </w:r>
            <w:r>
              <w:rPr>
                <w:rFonts w:hint="eastAsia"/>
                <w:bCs/>
                <w:szCs w:val="21"/>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795"/>
              <w:gridCol w:w="1192"/>
              <w:gridCol w:w="2295"/>
              <w:gridCol w:w="653"/>
              <w:gridCol w:w="2507"/>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34" w:type="dxa"/>
                  <w:vAlign w:val="center"/>
                </w:tcPr>
                <w:p>
                  <w:pPr>
                    <w:spacing w:line="280" w:lineRule="exact"/>
                    <w:ind w:left="-180" w:right="-108"/>
                    <w:jc w:val="center"/>
                    <w:rPr>
                      <w:szCs w:val="21"/>
                    </w:rPr>
                  </w:pPr>
                  <w:r>
                    <w:rPr>
                      <w:szCs w:val="21"/>
                    </w:rPr>
                    <w:t>序号</w:t>
                  </w:r>
                </w:p>
              </w:tc>
              <w:tc>
                <w:tcPr>
                  <w:tcW w:w="795" w:type="dxa"/>
                  <w:vAlign w:val="center"/>
                </w:tcPr>
                <w:p>
                  <w:pPr>
                    <w:spacing w:line="280" w:lineRule="exact"/>
                    <w:jc w:val="center"/>
                    <w:rPr>
                      <w:szCs w:val="21"/>
                    </w:rPr>
                  </w:pPr>
                  <w:r>
                    <w:rPr>
                      <w:szCs w:val="21"/>
                    </w:rPr>
                    <w:t>类别</w:t>
                  </w:r>
                </w:p>
              </w:tc>
              <w:tc>
                <w:tcPr>
                  <w:tcW w:w="1192" w:type="dxa"/>
                  <w:vAlign w:val="center"/>
                </w:tcPr>
                <w:p>
                  <w:pPr>
                    <w:spacing w:line="280" w:lineRule="exact"/>
                    <w:ind w:left="-108" w:right="-108"/>
                    <w:jc w:val="center"/>
                    <w:rPr>
                      <w:szCs w:val="21"/>
                    </w:rPr>
                  </w:pPr>
                  <w:r>
                    <w:rPr>
                      <w:szCs w:val="21"/>
                    </w:rPr>
                    <w:t>治理对象</w:t>
                  </w:r>
                </w:p>
              </w:tc>
              <w:tc>
                <w:tcPr>
                  <w:tcW w:w="2295" w:type="dxa"/>
                  <w:vAlign w:val="center"/>
                </w:tcPr>
                <w:p>
                  <w:pPr>
                    <w:spacing w:line="280" w:lineRule="exact"/>
                    <w:jc w:val="center"/>
                    <w:rPr>
                      <w:szCs w:val="21"/>
                    </w:rPr>
                  </w:pPr>
                  <w:r>
                    <w:rPr>
                      <w:szCs w:val="21"/>
                    </w:rPr>
                    <w:t>环保设施名称</w:t>
                  </w:r>
                </w:p>
              </w:tc>
              <w:tc>
                <w:tcPr>
                  <w:tcW w:w="653" w:type="dxa"/>
                  <w:vAlign w:val="center"/>
                </w:tcPr>
                <w:p>
                  <w:pPr>
                    <w:spacing w:line="280" w:lineRule="exact"/>
                    <w:ind w:left="-105" w:leftChars="-50" w:right="-105" w:rightChars="-50"/>
                    <w:jc w:val="center"/>
                    <w:rPr>
                      <w:szCs w:val="21"/>
                    </w:rPr>
                  </w:pPr>
                  <w:r>
                    <w:rPr>
                      <w:rFonts w:hint="eastAsia"/>
                      <w:szCs w:val="21"/>
                    </w:rPr>
                    <w:t>环评</w:t>
                  </w:r>
                  <w:r>
                    <w:rPr>
                      <w:szCs w:val="21"/>
                    </w:rPr>
                    <w:t>投资（万元）</w:t>
                  </w:r>
                </w:p>
              </w:tc>
              <w:tc>
                <w:tcPr>
                  <w:tcW w:w="2507" w:type="dxa"/>
                  <w:vAlign w:val="center"/>
                </w:tcPr>
                <w:p>
                  <w:pPr>
                    <w:spacing w:line="280" w:lineRule="exact"/>
                    <w:jc w:val="center"/>
                    <w:rPr>
                      <w:szCs w:val="21"/>
                    </w:rPr>
                  </w:pPr>
                  <w:r>
                    <w:rPr>
                      <w:rFonts w:hint="eastAsia"/>
                      <w:szCs w:val="21"/>
                    </w:rPr>
                    <w:t>落实情况</w:t>
                  </w:r>
                </w:p>
              </w:tc>
              <w:tc>
                <w:tcPr>
                  <w:tcW w:w="867" w:type="dxa"/>
                  <w:vAlign w:val="center"/>
                </w:tcPr>
                <w:p>
                  <w:pPr>
                    <w:spacing w:line="280" w:lineRule="exact"/>
                    <w:ind w:left="-105" w:leftChars="-50" w:right="-105" w:rightChars="-50"/>
                    <w:jc w:val="center"/>
                    <w:rPr>
                      <w:szCs w:val="21"/>
                    </w:rPr>
                  </w:pPr>
                  <w:r>
                    <w:rPr>
                      <w:rFonts w:hint="eastAsia"/>
                      <w:szCs w:val="21"/>
                    </w:rPr>
                    <w:t>实际</w:t>
                  </w:r>
                  <w:r>
                    <w:rPr>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634" w:type="dxa"/>
                  <w:vMerge w:val="restart"/>
                  <w:vAlign w:val="center"/>
                </w:tcPr>
                <w:p>
                  <w:pPr>
                    <w:spacing w:line="280" w:lineRule="exact"/>
                    <w:ind w:left="-180" w:right="-108"/>
                    <w:jc w:val="center"/>
                    <w:rPr>
                      <w:szCs w:val="21"/>
                    </w:rPr>
                  </w:pPr>
                  <w:r>
                    <w:rPr>
                      <w:szCs w:val="21"/>
                    </w:rPr>
                    <w:t>1</w:t>
                  </w:r>
                </w:p>
              </w:tc>
              <w:tc>
                <w:tcPr>
                  <w:tcW w:w="795" w:type="dxa"/>
                  <w:vMerge w:val="restart"/>
                  <w:vAlign w:val="center"/>
                </w:tcPr>
                <w:p>
                  <w:pPr>
                    <w:spacing w:line="280" w:lineRule="exact"/>
                    <w:jc w:val="center"/>
                    <w:rPr>
                      <w:szCs w:val="21"/>
                    </w:rPr>
                  </w:pPr>
                  <w:r>
                    <w:rPr>
                      <w:szCs w:val="21"/>
                    </w:rPr>
                    <w:t>废水</w:t>
                  </w:r>
                </w:p>
                <w:p>
                  <w:pPr>
                    <w:spacing w:line="280" w:lineRule="exact"/>
                    <w:jc w:val="center"/>
                    <w:rPr>
                      <w:szCs w:val="21"/>
                    </w:rPr>
                  </w:pPr>
                  <w:r>
                    <w:rPr>
                      <w:szCs w:val="21"/>
                    </w:rPr>
                    <w:t>治理</w:t>
                  </w:r>
                </w:p>
              </w:tc>
              <w:tc>
                <w:tcPr>
                  <w:tcW w:w="1192" w:type="dxa"/>
                  <w:vAlign w:val="center"/>
                </w:tcPr>
                <w:p>
                  <w:pPr>
                    <w:spacing w:line="280" w:lineRule="exact"/>
                    <w:ind w:left="-108" w:right="-108"/>
                    <w:jc w:val="center"/>
                    <w:rPr>
                      <w:szCs w:val="21"/>
                    </w:rPr>
                  </w:pPr>
                  <w:r>
                    <w:rPr>
                      <w:szCs w:val="21"/>
                    </w:rPr>
                    <w:t>生活污水、</w:t>
                  </w:r>
                  <w:r>
                    <w:rPr>
                      <w:rFonts w:hint="eastAsia"/>
                      <w:szCs w:val="21"/>
                    </w:rPr>
                    <w:t>食堂废水</w:t>
                  </w:r>
                </w:p>
              </w:tc>
              <w:tc>
                <w:tcPr>
                  <w:tcW w:w="2295" w:type="dxa"/>
                  <w:vAlign w:val="center"/>
                </w:tcPr>
                <w:p>
                  <w:pPr>
                    <w:spacing w:line="280" w:lineRule="exact"/>
                    <w:ind w:left="105" w:leftChars="50" w:right="105" w:rightChars="50"/>
                    <w:jc w:val="center"/>
                    <w:rPr>
                      <w:szCs w:val="21"/>
                    </w:rPr>
                  </w:pPr>
                  <w:r>
                    <w:rPr>
                      <w:rFonts w:hint="eastAsia"/>
                      <w:szCs w:val="21"/>
                    </w:rPr>
                    <w:t>生活废水、食堂废水经、隔油池、化粪池处理后由污水管网排入联熹污水处理厂处理，最终排入店埠河</w:t>
                  </w:r>
                </w:p>
              </w:tc>
              <w:tc>
                <w:tcPr>
                  <w:tcW w:w="653" w:type="dxa"/>
                  <w:vMerge w:val="restart"/>
                  <w:vAlign w:val="center"/>
                </w:tcPr>
                <w:p>
                  <w:pPr>
                    <w:jc w:val="center"/>
                    <w:rPr>
                      <w:szCs w:val="21"/>
                    </w:rPr>
                  </w:pPr>
                  <w:r>
                    <w:rPr>
                      <w:rFonts w:hint="eastAsia"/>
                      <w:szCs w:val="21"/>
                    </w:rPr>
                    <w:t>10</w:t>
                  </w:r>
                </w:p>
              </w:tc>
              <w:tc>
                <w:tcPr>
                  <w:tcW w:w="2507" w:type="dxa"/>
                  <w:vAlign w:val="center"/>
                </w:tcPr>
                <w:p>
                  <w:pPr>
                    <w:spacing w:line="280" w:lineRule="exact"/>
                    <w:ind w:left="105" w:leftChars="50" w:right="105" w:rightChars="50"/>
                    <w:jc w:val="center"/>
                    <w:rPr>
                      <w:szCs w:val="21"/>
                    </w:rPr>
                  </w:pPr>
                  <w:r>
                    <w:rPr>
                      <w:rFonts w:hint="eastAsia"/>
                      <w:szCs w:val="21"/>
                    </w:rPr>
                    <w:t>生活废水、食堂废水经、隔油池、化粪池处理后由污水管网排入联熹污水处理厂处理，最终排入店埠河</w:t>
                  </w:r>
                </w:p>
              </w:tc>
              <w:tc>
                <w:tcPr>
                  <w:tcW w:w="867" w:type="dxa"/>
                  <w:vMerge w:val="restart"/>
                  <w:vAlign w:val="center"/>
                </w:tcPr>
                <w:p>
                  <w:pPr>
                    <w:jc w:val="center"/>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634" w:type="dxa"/>
                  <w:vMerge w:val="continue"/>
                  <w:vAlign w:val="center"/>
                </w:tcPr>
                <w:p>
                  <w:pPr>
                    <w:spacing w:line="280" w:lineRule="exact"/>
                    <w:ind w:left="-180" w:right="-108"/>
                    <w:jc w:val="center"/>
                    <w:rPr>
                      <w:szCs w:val="21"/>
                    </w:rPr>
                  </w:pPr>
                </w:p>
              </w:tc>
              <w:tc>
                <w:tcPr>
                  <w:tcW w:w="795" w:type="dxa"/>
                  <w:vMerge w:val="continue"/>
                  <w:vAlign w:val="center"/>
                </w:tcPr>
                <w:p>
                  <w:pPr>
                    <w:spacing w:line="280" w:lineRule="exact"/>
                    <w:jc w:val="center"/>
                    <w:rPr>
                      <w:szCs w:val="21"/>
                    </w:rPr>
                  </w:pPr>
                </w:p>
              </w:tc>
              <w:tc>
                <w:tcPr>
                  <w:tcW w:w="1192" w:type="dxa"/>
                  <w:vAlign w:val="center"/>
                </w:tcPr>
                <w:p>
                  <w:pPr>
                    <w:spacing w:line="280" w:lineRule="exact"/>
                    <w:ind w:left="-108" w:right="-108"/>
                    <w:jc w:val="center"/>
                    <w:rPr>
                      <w:szCs w:val="21"/>
                    </w:rPr>
                  </w:pPr>
                  <w:r>
                    <w:rPr>
                      <w:rFonts w:hint="eastAsia"/>
                      <w:szCs w:val="21"/>
                    </w:rPr>
                    <w:t>玻璃清洗、磨边废水</w:t>
                  </w:r>
                </w:p>
              </w:tc>
              <w:tc>
                <w:tcPr>
                  <w:tcW w:w="2295" w:type="dxa"/>
                  <w:vAlign w:val="center"/>
                </w:tcPr>
                <w:p>
                  <w:pPr>
                    <w:spacing w:line="280" w:lineRule="exact"/>
                    <w:ind w:left="105" w:leftChars="50" w:right="105" w:rightChars="50"/>
                    <w:jc w:val="center"/>
                    <w:rPr>
                      <w:szCs w:val="21"/>
                    </w:rPr>
                  </w:pPr>
                  <w:r>
                    <w:rPr>
                      <w:rFonts w:hint="eastAsia"/>
                    </w:rPr>
                    <w:t>三级沉淀池（12m*1.5m*1.0m）</w:t>
                  </w:r>
                </w:p>
              </w:tc>
              <w:tc>
                <w:tcPr>
                  <w:tcW w:w="653" w:type="dxa"/>
                  <w:vMerge w:val="continue"/>
                  <w:vAlign w:val="center"/>
                </w:tcPr>
                <w:p>
                  <w:pPr>
                    <w:jc w:val="center"/>
                    <w:rPr>
                      <w:szCs w:val="21"/>
                    </w:rPr>
                  </w:pPr>
                </w:p>
              </w:tc>
              <w:tc>
                <w:tcPr>
                  <w:tcW w:w="2507" w:type="dxa"/>
                  <w:vAlign w:val="center"/>
                </w:tcPr>
                <w:p>
                  <w:pPr>
                    <w:spacing w:line="280" w:lineRule="exact"/>
                    <w:ind w:left="105" w:leftChars="50" w:right="105" w:rightChars="50"/>
                    <w:jc w:val="center"/>
                    <w:rPr>
                      <w:szCs w:val="21"/>
                    </w:rPr>
                  </w:pPr>
                  <w:r>
                    <w:rPr>
                      <w:rFonts w:hint="eastAsia"/>
                      <w:szCs w:val="21"/>
                    </w:rPr>
                    <w:t>水处理净化设备</w:t>
                  </w:r>
                </w:p>
              </w:tc>
              <w:tc>
                <w:tcPr>
                  <w:tcW w:w="867"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trPr>
              <w:tc>
                <w:tcPr>
                  <w:tcW w:w="634" w:type="dxa"/>
                  <w:vAlign w:val="center"/>
                </w:tcPr>
                <w:p>
                  <w:pPr>
                    <w:spacing w:line="280" w:lineRule="exact"/>
                    <w:ind w:left="-180" w:right="-108"/>
                    <w:jc w:val="center"/>
                    <w:rPr>
                      <w:szCs w:val="21"/>
                    </w:rPr>
                  </w:pPr>
                  <w:r>
                    <w:rPr>
                      <w:rFonts w:hint="eastAsia"/>
                      <w:szCs w:val="21"/>
                    </w:rPr>
                    <w:t>2</w:t>
                  </w:r>
                </w:p>
              </w:tc>
              <w:tc>
                <w:tcPr>
                  <w:tcW w:w="795" w:type="dxa"/>
                  <w:vAlign w:val="center"/>
                </w:tcPr>
                <w:p>
                  <w:pPr>
                    <w:spacing w:line="280" w:lineRule="exact"/>
                    <w:jc w:val="center"/>
                    <w:rPr>
                      <w:szCs w:val="21"/>
                    </w:rPr>
                  </w:pPr>
                  <w:r>
                    <w:rPr>
                      <w:rFonts w:hint="eastAsia"/>
                      <w:szCs w:val="21"/>
                    </w:rPr>
                    <w:t>废气治理</w:t>
                  </w:r>
                </w:p>
              </w:tc>
              <w:tc>
                <w:tcPr>
                  <w:tcW w:w="1192" w:type="dxa"/>
                  <w:vAlign w:val="center"/>
                </w:tcPr>
                <w:p>
                  <w:pPr>
                    <w:jc w:val="center"/>
                  </w:pPr>
                  <w:r>
                    <w:rPr>
                      <w:rFonts w:hint="eastAsia"/>
                      <w:szCs w:val="21"/>
                    </w:rPr>
                    <w:t>3#厂房生产有机</w:t>
                  </w:r>
                  <w:r>
                    <w:rPr>
                      <w:szCs w:val="21"/>
                    </w:rPr>
                    <w:t>废气</w:t>
                  </w:r>
                </w:p>
              </w:tc>
              <w:tc>
                <w:tcPr>
                  <w:tcW w:w="2295" w:type="dxa"/>
                  <w:vAlign w:val="center"/>
                </w:tcPr>
                <w:p>
                  <w:pPr>
                    <w:jc w:val="center"/>
                  </w:pPr>
                  <w:r>
                    <w:rPr>
                      <w:rFonts w:hint="eastAsia"/>
                      <w:bCs/>
                      <w:szCs w:val="21"/>
                    </w:rPr>
                    <w:t>3</w:t>
                  </w:r>
                  <w:r>
                    <w:rPr>
                      <w:bCs/>
                      <w:szCs w:val="21"/>
                    </w:rPr>
                    <w:t>#厂房设置集气罩将夹胶玻璃有机废气和中空玻璃涂胶、打胶废气收集后经二级活性炭吸附后通过1#15米高排气筒排放</w:t>
                  </w:r>
                </w:p>
              </w:tc>
              <w:tc>
                <w:tcPr>
                  <w:tcW w:w="653" w:type="dxa"/>
                  <w:vAlign w:val="center"/>
                </w:tcPr>
                <w:p>
                  <w:pPr>
                    <w:jc w:val="center"/>
                    <w:rPr>
                      <w:szCs w:val="21"/>
                    </w:rPr>
                  </w:pPr>
                  <w:r>
                    <w:rPr>
                      <w:rFonts w:hint="eastAsia"/>
                      <w:szCs w:val="21"/>
                    </w:rPr>
                    <w:t>20</w:t>
                  </w:r>
                </w:p>
              </w:tc>
              <w:tc>
                <w:tcPr>
                  <w:tcW w:w="2507" w:type="dxa"/>
                  <w:vAlign w:val="center"/>
                </w:tcPr>
                <w:p>
                  <w:pPr>
                    <w:jc w:val="center"/>
                    <w:rPr>
                      <w:bCs/>
                      <w:szCs w:val="21"/>
                    </w:rPr>
                  </w:pPr>
                  <w:r>
                    <w:rPr>
                      <w:rFonts w:hint="eastAsia"/>
                      <w:bCs/>
                      <w:szCs w:val="21"/>
                    </w:rPr>
                    <w:t>3</w:t>
                  </w:r>
                  <w:r>
                    <w:rPr>
                      <w:bCs/>
                      <w:szCs w:val="21"/>
                    </w:rPr>
                    <w:t>#厂房设置集气罩将夹胶玻璃有机废气和中空玻璃涂胶、打胶废气收集后经二级活性炭吸附后通过1#15米高排气筒排放</w:t>
                  </w:r>
                </w:p>
              </w:tc>
              <w:tc>
                <w:tcPr>
                  <w:tcW w:w="867" w:type="dxa"/>
                  <w:vAlign w:val="center"/>
                </w:tcPr>
                <w:p>
                  <w:pPr>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634" w:type="dxa"/>
                  <w:vMerge w:val="restart"/>
                  <w:vAlign w:val="center"/>
                </w:tcPr>
                <w:p>
                  <w:pPr>
                    <w:spacing w:line="280" w:lineRule="exact"/>
                    <w:ind w:left="-180" w:right="-108"/>
                    <w:jc w:val="center"/>
                    <w:rPr>
                      <w:szCs w:val="21"/>
                    </w:rPr>
                  </w:pPr>
                  <w:r>
                    <w:rPr>
                      <w:szCs w:val="21"/>
                    </w:rPr>
                    <w:t>3</w:t>
                  </w:r>
                </w:p>
              </w:tc>
              <w:tc>
                <w:tcPr>
                  <w:tcW w:w="795" w:type="dxa"/>
                  <w:vMerge w:val="restart"/>
                  <w:vAlign w:val="center"/>
                </w:tcPr>
                <w:p>
                  <w:pPr>
                    <w:spacing w:line="280" w:lineRule="exact"/>
                    <w:jc w:val="center"/>
                    <w:rPr>
                      <w:szCs w:val="21"/>
                    </w:rPr>
                  </w:pPr>
                  <w:r>
                    <w:rPr>
                      <w:szCs w:val="21"/>
                    </w:rPr>
                    <w:t>固废</w:t>
                  </w:r>
                </w:p>
                <w:p>
                  <w:pPr>
                    <w:spacing w:line="280" w:lineRule="exact"/>
                    <w:jc w:val="center"/>
                    <w:rPr>
                      <w:szCs w:val="21"/>
                    </w:rPr>
                  </w:pPr>
                  <w:r>
                    <w:rPr>
                      <w:szCs w:val="21"/>
                    </w:rPr>
                    <w:t>处置</w:t>
                  </w:r>
                </w:p>
              </w:tc>
              <w:tc>
                <w:tcPr>
                  <w:tcW w:w="1192" w:type="dxa"/>
                  <w:vAlign w:val="center"/>
                </w:tcPr>
                <w:p>
                  <w:pPr>
                    <w:tabs>
                      <w:tab w:val="left" w:pos="540"/>
                    </w:tabs>
                    <w:jc w:val="center"/>
                    <w:rPr>
                      <w:szCs w:val="21"/>
                    </w:rPr>
                  </w:pPr>
                  <w:r>
                    <w:rPr>
                      <w:rFonts w:hint="eastAsia"/>
                      <w:szCs w:val="21"/>
                    </w:rPr>
                    <w:t>危险废物</w:t>
                  </w:r>
                </w:p>
              </w:tc>
              <w:tc>
                <w:tcPr>
                  <w:tcW w:w="2295" w:type="dxa"/>
                  <w:vAlign w:val="center"/>
                </w:tcPr>
                <w:p>
                  <w:pPr>
                    <w:tabs>
                      <w:tab w:val="left" w:pos="540"/>
                    </w:tabs>
                    <w:jc w:val="center"/>
                    <w:rPr>
                      <w:szCs w:val="21"/>
                    </w:rPr>
                  </w:pPr>
                  <w:r>
                    <w:rPr>
                      <w:szCs w:val="21"/>
                    </w:rPr>
                    <w:t xml:space="preserve">建设危废暂存间，委托资质单位处置 </w:t>
                  </w:r>
                </w:p>
              </w:tc>
              <w:tc>
                <w:tcPr>
                  <w:tcW w:w="653" w:type="dxa"/>
                  <w:vMerge w:val="restart"/>
                  <w:vAlign w:val="center"/>
                </w:tcPr>
                <w:p>
                  <w:pPr>
                    <w:jc w:val="center"/>
                    <w:rPr>
                      <w:szCs w:val="21"/>
                    </w:rPr>
                  </w:pPr>
                  <w:r>
                    <w:rPr>
                      <w:rFonts w:hint="eastAsia"/>
                      <w:szCs w:val="21"/>
                    </w:rPr>
                    <w:t>5</w:t>
                  </w:r>
                </w:p>
              </w:tc>
              <w:tc>
                <w:tcPr>
                  <w:tcW w:w="2507" w:type="dxa"/>
                  <w:vAlign w:val="center"/>
                </w:tcPr>
                <w:p>
                  <w:pPr>
                    <w:tabs>
                      <w:tab w:val="left" w:pos="540"/>
                    </w:tabs>
                    <w:jc w:val="center"/>
                    <w:rPr>
                      <w:szCs w:val="21"/>
                    </w:rPr>
                  </w:pPr>
                  <w:r>
                    <w:rPr>
                      <w:szCs w:val="21"/>
                    </w:rPr>
                    <w:t xml:space="preserve">建设危废暂存间，委托资质单位处置 </w:t>
                  </w:r>
                </w:p>
              </w:tc>
              <w:tc>
                <w:tcPr>
                  <w:tcW w:w="867" w:type="dxa"/>
                  <w:vMerge w:val="restart"/>
                  <w:vAlign w:val="center"/>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634" w:type="dxa"/>
                  <w:vMerge w:val="continue"/>
                  <w:vAlign w:val="center"/>
                </w:tcPr>
                <w:p>
                  <w:pPr>
                    <w:spacing w:line="280" w:lineRule="exact"/>
                    <w:ind w:left="-108" w:right="-108"/>
                    <w:jc w:val="center"/>
                  </w:pPr>
                </w:p>
              </w:tc>
              <w:tc>
                <w:tcPr>
                  <w:tcW w:w="795" w:type="dxa"/>
                  <w:vMerge w:val="continue"/>
                  <w:vAlign w:val="center"/>
                </w:tcPr>
                <w:p>
                  <w:pPr>
                    <w:spacing w:line="280" w:lineRule="exact"/>
                    <w:ind w:left="-108" w:right="-108"/>
                    <w:jc w:val="center"/>
                  </w:pPr>
                </w:p>
              </w:tc>
              <w:tc>
                <w:tcPr>
                  <w:tcW w:w="1192" w:type="dxa"/>
                  <w:vAlign w:val="center"/>
                </w:tcPr>
                <w:p>
                  <w:pPr>
                    <w:tabs>
                      <w:tab w:val="left" w:pos="540"/>
                    </w:tabs>
                    <w:jc w:val="center"/>
                    <w:rPr>
                      <w:szCs w:val="21"/>
                    </w:rPr>
                  </w:pPr>
                  <w:r>
                    <w:rPr>
                      <w:szCs w:val="21"/>
                    </w:rPr>
                    <w:t>一般固废</w:t>
                  </w:r>
                </w:p>
              </w:tc>
              <w:tc>
                <w:tcPr>
                  <w:tcW w:w="2295" w:type="dxa"/>
                  <w:vAlign w:val="center"/>
                </w:tcPr>
                <w:p>
                  <w:pPr>
                    <w:tabs>
                      <w:tab w:val="left" w:pos="540"/>
                    </w:tabs>
                    <w:jc w:val="center"/>
                    <w:rPr>
                      <w:szCs w:val="21"/>
                    </w:rPr>
                  </w:pPr>
                  <w:r>
                    <w:rPr>
                      <w:szCs w:val="21"/>
                    </w:rPr>
                    <w:t>设置一般固废暂存点，用于一般固废的储存，收集后外售</w:t>
                  </w:r>
                </w:p>
              </w:tc>
              <w:tc>
                <w:tcPr>
                  <w:tcW w:w="653" w:type="dxa"/>
                  <w:vMerge w:val="continue"/>
                  <w:vAlign w:val="center"/>
                </w:tcPr>
                <w:p>
                  <w:pPr>
                    <w:jc w:val="center"/>
                    <w:rPr>
                      <w:szCs w:val="21"/>
                    </w:rPr>
                  </w:pPr>
                </w:p>
              </w:tc>
              <w:tc>
                <w:tcPr>
                  <w:tcW w:w="2507" w:type="dxa"/>
                  <w:vAlign w:val="center"/>
                </w:tcPr>
                <w:p>
                  <w:pPr>
                    <w:tabs>
                      <w:tab w:val="left" w:pos="540"/>
                    </w:tabs>
                    <w:jc w:val="center"/>
                    <w:rPr>
                      <w:szCs w:val="21"/>
                    </w:rPr>
                  </w:pPr>
                  <w:r>
                    <w:rPr>
                      <w:szCs w:val="21"/>
                    </w:rPr>
                    <w:t>设置一般固废暂存点，用于一般固废的储存，收集后外售</w:t>
                  </w:r>
                </w:p>
              </w:tc>
              <w:tc>
                <w:tcPr>
                  <w:tcW w:w="867"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634" w:type="dxa"/>
                  <w:vMerge w:val="continue"/>
                  <w:vAlign w:val="center"/>
                </w:tcPr>
                <w:p>
                  <w:pPr>
                    <w:spacing w:line="280" w:lineRule="exact"/>
                    <w:ind w:left="-108" w:right="-108"/>
                    <w:jc w:val="center"/>
                    <w:rPr>
                      <w:szCs w:val="21"/>
                    </w:rPr>
                  </w:pPr>
                </w:p>
              </w:tc>
              <w:tc>
                <w:tcPr>
                  <w:tcW w:w="795" w:type="dxa"/>
                  <w:vMerge w:val="continue"/>
                  <w:vAlign w:val="center"/>
                </w:tcPr>
                <w:p>
                  <w:pPr>
                    <w:spacing w:line="280" w:lineRule="exact"/>
                    <w:ind w:left="-108" w:right="-108"/>
                    <w:jc w:val="center"/>
                    <w:rPr>
                      <w:szCs w:val="21"/>
                    </w:rPr>
                  </w:pPr>
                </w:p>
              </w:tc>
              <w:tc>
                <w:tcPr>
                  <w:tcW w:w="1192" w:type="dxa"/>
                  <w:vAlign w:val="center"/>
                </w:tcPr>
                <w:p>
                  <w:pPr>
                    <w:tabs>
                      <w:tab w:val="left" w:pos="540"/>
                    </w:tabs>
                    <w:jc w:val="center"/>
                    <w:rPr>
                      <w:szCs w:val="21"/>
                    </w:rPr>
                  </w:pPr>
                  <w:r>
                    <w:rPr>
                      <w:szCs w:val="21"/>
                    </w:rPr>
                    <w:t>生活垃圾</w:t>
                  </w:r>
                </w:p>
              </w:tc>
              <w:tc>
                <w:tcPr>
                  <w:tcW w:w="2295" w:type="dxa"/>
                  <w:vAlign w:val="center"/>
                </w:tcPr>
                <w:p>
                  <w:pPr>
                    <w:tabs>
                      <w:tab w:val="left" w:pos="540"/>
                    </w:tabs>
                    <w:jc w:val="center"/>
                    <w:rPr>
                      <w:szCs w:val="21"/>
                    </w:rPr>
                  </w:pPr>
                  <w:r>
                    <w:rPr>
                      <w:szCs w:val="21"/>
                    </w:rPr>
                    <w:t>办公区设置垃圾桶，收集后委托环卫部门处置</w:t>
                  </w:r>
                </w:p>
              </w:tc>
              <w:tc>
                <w:tcPr>
                  <w:tcW w:w="653" w:type="dxa"/>
                  <w:vMerge w:val="continue"/>
                  <w:vAlign w:val="center"/>
                </w:tcPr>
                <w:p>
                  <w:pPr>
                    <w:jc w:val="center"/>
                    <w:rPr>
                      <w:szCs w:val="21"/>
                    </w:rPr>
                  </w:pPr>
                </w:p>
              </w:tc>
              <w:tc>
                <w:tcPr>
                  <w:tcW w:w="2507" w:type="dxa"/>
                  <w:vAlign w:val="center"/>
                </w:tcPr>
                <w:p>
                  <w:pPr>
                    <w:tabs>
                      <w:tab w:val="left" w:pos="540"/>
                    </w:tabs>
                    <w:jc w:val="center"/>
                    <w:rPr>
                      <w:szCs w:val="21"/>
                    </w:rPr>
                  </w:pPr>
                  <w:r>
                    <w:rPr>
                      <w:szCs w:val="21"/>
                    </w:rPr>
                    <w:t>办公区设置垃圾桶，收集后委托环卫部门处置</w:t>
                  </w:r>
                </w:p>
              </w:tc>
              <w:tc>
                <w:tcPr>
                  <w:tcW w:w="867"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34" w:type="dxa"/>
                  <w:vAlign w:val="center"/>
                </w:tcPr>
                <w:p>
                  <w:pPr>
                    <w:spacing w:line="280" w:lineRule="exact"/>
                    <w:ind w:left="-180" w:right="-108"/>
                    <w:jc w:val="center"/>
                    <w:rPr>
                      <w:szCs w:val="21"/>
                    </w:rPr>
                  </w:pPr>
                  <w:r>
                    <w:rPr>
                      <w:szCs w:val="21"/>
                    </w:rPr>
                    <w:t>4</w:t>
                  </w:r>
                </w:p>
              </w:tc>
              <w:tc>
                <w:tcPr>
                  <w:tcW w:w="795" w:type="dxa"/>
                  <w:vAlign w:val="center"/>
                </w:tcPr>
                <w:p>
                  <w:pPr>
                    <w:spacing w:line="280" w:lineRule="exact"/>
                    <w:jc w:val="center"/>
                    <w:rPr>
                      <w:szCs w:val="21"/>
                    </w:rPr>
                  </w:pPr>
                  <w:r>
                    <w:rPr>
                      <w:szCs w:val="21"/>
                    </w:rPr>
                    <w:t>噪声</w:t>
                  </w:r>
                </w:p>
                <w:p>
                  <w:pPr>
                    <w:spacing w:line="280" w:lineRule="exact"/>
                    <w:jc w:val="center"/>
                    <w:rPr>
                      <w:szCs w:val="21"/>
                    </w:rPr>
                  </w:pPr>
                  <w:r>
                    <w:rPr>
                      <w:szCs w:val="21"/>
                    </w:rPr>
                    <w:t>控制</w:t>
                  </w:r>
                </w:p>
              </w:tc>
              <w:tc>
                <w:tcPr>
                  <w:tcW w:w="1192" w:type="dxa"/>
                  <w:vAlign w:val="center"/>
                </w:tcPr>
                <w:p>
                  <w:pPr>
                    <w:jc w:val="center"/>
                    <w:rPr>
                      <w:szCs w:val="21"/>
                    </w:rPr>
                  </w:pPr>
                  <w:r>
                    <w:rPr>
                      <w:szCs w:val="21"/>
                    </w:rPr>
                    <w:t>设备噪声</w:t>
                  </w:r>
                </w:p>
              </w:tc>
              <w:tc>
                <w:tcPr>
                  <w:tcW w:w="2295" w:type="dxa"/>
                  <w:vAlign w:val="center"/>
                </w:tcPr>
                <w:p>
                  <w:pPr>
                    <w:jc w:val="center"/>
                    <w:rPr>
                      <w:szCs w:val="21"/>
                    </w:rPr>
                  </w:pPr>
                  <w:r>
                    <w:rPr>
                      <w:szCs w:val="21"/>
                    </w:rPr>
                    <w:t>设置消声、隔声、基础减震</w:t>
                  </w:r>
                </w:p>
              </w:tc>
              <w:tc>
                <w:tcPr>
                  <w:tcW w:w="653" w:type="dxa"/>
                  <w:vAlign w:val="center"/>
                </w:tcPr>
                <w:p>
                  <w:pPr>
                    <w:jc w:val="center"/>
                    <w:rPr>
                      <w:szCs w:val="21"/>
                    </w:rPr>
                  </w:pPr>
                  <w:r>
                    <w:rPr>
                      <w:rFonts w:hint="eastAsia"/>
                      <w:szCs w:val="21"/>
                    </w:rPr>
                    <w:t>5</w:t>
                  </w:r>
                </w:p>
              </w:tc>
              <w:tc>
                <w:tcPr>
                  <w:tcW w:w="2507" w:type="dxa"/>
                  <w:vAlign w:val="center"/>
                </w:tcPr>
                <w:p>
                  <w:pPr>
                    <w:jc w:val="center"/>
                    <w:rPr>
                      <w:szCs w:val="21"/>
                    </w:rPr>
                  </w:pPr>
                  <w:r>
                    <w:rPr>
                      <w:szCs w:val="21"/>
                    </w:rPr>
                    <w:t>设置消声、隔声、基础减震</w:t>
                  </w:r>
                </w:p>
              </w:tc>
              <w:tc>
                <w:tcPr>
                  <w:tcW w:w="867" w:type="dxa"/>
                  <w:vAlign w:val="center"/>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29" w:type="dxa"/>
                  <w:gridSpan w:val="2"/>
                  <w:vAlign w:val="center"/>
                </w:tcPr>
                <w:p>
                  <w:pPr>
                    <w:spacing w:line="280" w:lineRule="exact"/>
                    <w:jc w:val="center"/>
                    <w:rPr>
                      <w:szCs w:val="21"/>
                    </w:rPr>
                  </w:pPr>
                  <w:r>
                    <w:rPr>
                      <w:rFonts w:hint="eastAsia"/>
                      <w:szCs w:val="21"/>
                    </w:rPr>
                    <w:t>合计</w:t>
                  </w:r>
                </w:p>
              </w:tc>
              <w:tc>
                <w:tcPr>
                  <w:tcW w:w="3487" w:type="dxa"/>
                  <w:gridSpan w:val="2"/>
                  <w:vAlign w:val="center"/>
                </w:tcPr>
                <w:p>
                  <w:pPr>
                    <w:spacing w:line="280" w:lineRule="exact"/>
                    <w:ind w:left="-108" w:right="-108"/>
                    <w:jc w:val="center"/>
                    <w:rPr>
                      <w:szCs w:val="21"/>
                    </w:rPr>
                  </w:pPr>
                  <w:r>
                    <w:rPr>
                      <w:rFonts w:hint="eastAsia"/>
                      <w:szCs w:val="21"/>
                    </w:rPr>
                    <w:t>/</w:t>
                  </w:r>
                </w:p>
              </w:tc>
              <w:tc>
                <w:tcPr>
                  <w:tcW w:w="653" w:type="dxa"/>
                  <w:vAlign w:val="center"/>
                </w:tcPr>
                <w:p>
                  <w:pPr>
                    <w:jc w:val="center"/>
                    <w:rPr>
                      <w:szCs w:val="21"/>
                    </w:rPr>
                  </w:pPr>
                  <w:r>
                    <w:rPr>
                      <w:rFonts w:hint="eastAsia"/>
                      <w:szCs w:val="21"/>
                    </w:rPr>
                    <w:t>40</w:t>
                  </w:r>
                </w:p>
              </w:tc>
              <w:tc>
                <w:tcPr>
                  <w:tcW w:w="2507" w:type="dxa"/>
                  <w:vAlign w:val="center"/>
                </w:tcPr>
                <w:p>
                  <w:pPr>
                    <w:spacing w:line="280" w:lineRule="exact"/>
                    <w:jc w:val="center"/>
                    <w:rPr>
                      <w:szCs w:val="21"/>
                    </w:rPr>
                  </w:pPr>
                  <w:r>
                    <w:rPr>
                      <w:rFonts w:hint="eastAsia"/>
                      <w:szCs w:val="21"/>
                    </w:rPr>
                    <w:t>/</w:t>
                  </w:r>
                </w:p>
              </w:tc>
              <w:tc>
                <w:tcPr>
                  <w:tcW w:w="867" w:type="dxa"/>
                  <w:vAlign w:val="center"/>
                </w:tcPr>
                <w:p>
                  <w:pPr>
                    <w:jc w:val="center"/>
                    <w:rPr>
                      <w:szCs w:val="21"/>
                    </w:rPr>
                  </w:pPr>
                  <w:r>
                    <w:rPr>
                      <w:rFonts w:hint="eastAsia"/>
                      <w:szCs w:val="21"/>
                    </w:rPr>
                    <w:t>60</w:t>
                  </w:r>
                </w:p>
              </w:tc>
            </w:tr>
          </w:tbl>
          <w:p>
            <w:pPr>
              <w:adjustRightInd w:val="0"/>
              <w:snapToGrid w:val="0"/>
              <w:spacing w:line="360" w:lineRule="auto"/>
              <w:rPr>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sz w:val="32"/>
          <w:szCs w:val="32"/>
        </w:rPr>
      </w:pPr>
      <w:r>
        <w:rPr>
          <w:rFonts w:hint="eastAsia"/>
          <w:b/>
          <w:bCs/>
          <w:sz w:val="32"/>
          <w:szCs w:val="32"/>
        </w:rPr>
        <w:t>表四</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12"/>
              <w:spacing w:line="360" w:lineRule="auto"/>
              <w:ind w:left="0" w:leftChars="0" w:firstLine="0" w:firstLineChars="0"/>
              <w:rPr>
                <w:b/>
                <w:bCs/>
                <w:sz w:val="28"/>
                <w:szCs w:val="28"/>
              </w:rPr>
            </w:pPr>
            <w:r>
              <w:rPr>
                <w:b/>
                <w:bCs/>
                <w:sz w:val="28"/>
                <w:szCs w:val="28"/>
              </w:rPr>
              <w:t>4建设项目环境影响报告表主要结论及审批部门审批决定</w:t>
            </w:r>
          </w:p>
          <w:p>
            <w:pPr>
              <w:pStyle w:val="12"/>
              <w:spacing w:line="360" w:lineRule="auto"/>
              <w:ind w:left="0" w:leftChars="0" w:firstLine="0" w:firstLineChars="0"/>
              <w:rPr>
                <w:b/>
                <w:bCs/>
                <w:sz w:val="24"/>
              </w:rPr>
            </w:pPr>
            <w:r>
              <w:rPr>
                <w:b/>
                <w:bCs/>
                <w:sz w:val="24"/>
              </w:rPr>
              <w:t>4.1环评报告表主要结论</w:t>
            </w:r>
          </w:p>
          <w:p>
            <w:pPr>
              <w:spacing w:line="360" w:lineRule="auto"/>
              <w:ind w:firstLine="480" w:firstLineChars="200"/>
              <w:rPr>
                <w:bCs/>
                <w:sz w:val="24"/>
              </w:rPr>
            </w:pPr>
            <w:r>
              <w:rPr>
                <w:rFonts w:hint="eastAsia"/>
                <w:sz w:val="24"/>
              </w:rPr>
              <w:t>1、废气：本项目废气来源于夹胶玻璃有机废气和</w:t>
            </w:r>
            <w:r>
              <w:rPr>
                <w:rFonts w:hint="eastAsia"/>
                <w:sz w:val="24"/>
                <w:szCs w:val="20"/>
              </w:rPr>
              <w:t>中空玻璃涂胶、打胶工序中产生的有机废气</w:t>
            </w:r>
            <w:r>
              <w:rPr>
                <w:rFonts w:hint="eastAsia"/>
                <w:sz w:val="24"/>
              </w:rPr>
              <w:t>，</w:t>
            </w:r>
            <w:r>
              <w:rPr>
                <w:sz w:val="24"/>
              </w:rPr>
              <w:t>主要污染物为</w:t>
            </w:r>
            <w:r>
              <w:rPr>
                <w:rFonts w:hint="eastAsia"/>
                <w:sz w:val="24"/>
              </w:rPr>
              <w:t>非甲烷总烃</w:t>
            </w:r>
            <w:r>
              <w:rPr>
                <w:sz w:val="24"/>
              </w:rPr>
              <w:t>。</w:t>
            </w:r>
            <w:r>
              <w:rPr>
                <w:rFonts w:hint="eastAsia"/>
                <w:bCs/>
                <w:sz w:val="24"/>
              </w:rPr>
              <w:t>3#厂房设置</w:t>
            </w:r>
            <w:r>
              <w:rPr>
                <w:bCs/>
                <w:sz w:val="24"/>
              </w:rPr>
              <w:t>集气罩将夹胶玻璃有机废气和中空玻璃涂胶、打胶废气收集后经二级活性炭吸附后通过15米高排气筒排放</w:t>
            </w:r>
            <w:r>
              <w:rPr>
                <w:rFonts w:hint="eastAsia"/>
                <w:bCs/>
                <w:sz w:val="24"/>
              </w:rPr>
              <w:t>。</w:t>
            </w:r>
            <w:r>
              <w:rPr>
                <w:rFonts w:hint="eastAsia"/>
                <w:sz w:val="24"/>
              </w:rPr>
              <w:t>根据预测，</w:t>
            </w:r>
            <w:r>
              <w:rPr>
                <w:sz w:val="24"/>
              </w:rPr>
              <w:t>厂界浓度能够满足</w:t>
            </w:r>
            <w:r>
              <w:rPr>
                <w:rFonts w:hint="eastAsia"/>
                <w:sz w:val="24"/>
              </w:rPr>
              <w:t>《工业企业挥发性有机物排放控制标准（天津市地方标</w:t>
            </w:r>
            <w:r>
              <w:rPr>
                <w:rFonts w:hint="eastAsia"/>
                <w:bCs/>
                <w:sz w:val="24"/>
              </w:rPr>
              <w:t>准）》（DB12/524-2020）</w:t>
            </w:r>
            <w:r>
              <w:rPr>
                <w:bCs/>
                <w:sz w:val="24"/>
              </w:rPr>
              <w:t>表</w:t>
            </w:r>
            <w:r>
              <w:rPr>
                <w:rFonts w:hint="eastAsia"/>
                <w:bCs/>
                <w:sz w:val="24"/>
              </w:rPr>
              <w:t>2挥发性有机物无组织</w:t>
            </w:r>
            <w:r>
              <w:rPr>
                <w:bCs/>
                <w:sz w:val="24"/>
              </w:rPr>
              <w:t>排放限值要求</w:t>
            </w:r>
            <w:r>
              <w:rPr>
                <w:rFonts w:hint="eastAsia"/>
                <w:bCs/>
                <w:sz w:val="24"/>
              </w:rPr>
              <w:t>；生产车间生产过程中产生的有机废气经二级活性炭吸附装置处理，经处理后通过15m高排气筒排放，排放浓度能够满足《工业企业挥发性有机物排放控制标准（天津市地方标准）》（DB12/524-2020）</w:t>
            </w:r>
            <w:r>
              <w:rPr>
                <w:bCs/>
                <w:sz w:val="24"/>
              </w:rPr>
              <w:t>表</w:t>
            </w:r>
            <w:r>
              <w:rPr>
                <w:rFonts w:hint="eastAsia"/>
                <w:bCs/>
                <w:sz w:val="24"/>
              </w:rPr>
              <w:t>1挥发性有机物有组织</w:t>
            </w:r>
            <w:r>
              <w:rPr>
                <w:bCs/>
                <w:sz w:val="24"/>
              </w:rPr>
              <w:t>排放限值</w:t>
            </w:r>
            <w:r>
              <w:rPr>
                <w:rFonts w:hint="eastAsia"/>
                <w:bCs/>
                <w:sz w:val="24"/>
              </w:rPr>
              <w:t>要求；食堂油烟经油烟净化器处理后排放，因此，</w:t>
            </w:r>
            <w:r>
              <w:rPr>
                <w:bCs/>
                <w:sz w:val="24"/>
              </w:rPr>
              <w:t>对当地的环境空气质量影响较小。</w:t>
            </w:r>
          </w:p>
          <w:p>
            <w:pPr>
              <w:spacing w:line="360" w:lineRule="auto"/>
              <w:ind w:firstLine="480" w:firstLineChars="200"/>
              <w:rPr>
                <w:sz w:val="24"/>
              </w:rPr>
            </w:pPr>
            <w:r>
              <w:rPr>
                <w:rFonts w:hint="eastAsia"/>
                <w:bCs/>
                <w:sz w:val="24"/>
              </w:rPr>
              <w:t>根据采取的大气污染防治措施分析，结合污染物排放浓度估算结果分析，可以得出以下结论：采取评价所提出的治理措施后，该项目有机废气污染源经预测，污染物浓度超标率为</w:t>
            </w:r>
            <w:r>
              <w:rPr>
                <w:bCs/>
                <w:sz w:val="24"/>
              </w:rPr>
              <w:t>0</w:t>
            </w:r>
            <w:r>
              <w:rPr>
                <w:rFonts w:hint="eastAsia"/>
                <w:bCs/>
                <w:sz w:val="24"/>
              </w:rPr>
              <w:t>，拟建项目排放的</w:t>
            </w:r>
            <w:r>
              <w:rPr>
                <w:rFonts w:hint="eastAsia"/>
                <w:sz w:val="24"/>
              </w:rPr>
              <w:t>大气污染物对所在区域的大气环境影响可接受。本项目无组织排放的有机废气经计算无超标点，不需要设置大气环境防护范围。本项目以厂界为边界，设置50米为环境防护距离。目前本项目环境防护距离内无环境敏感点，本项目环境防护距离范围内未来不得规划建设医院、学校和居民区。</w:t>
            </w:r>
          </w:p>
          <w:p>
            <w:pPr>
              <w:spacing w:line="360" w:lineRule="auto"/>
              <w:ind w:firstLine="480" w:firstLineChars="200"/>
              <w:rPr>
                <w:sz w:val="24"/>
              </w:rPr>
            </w:pPr>
            <w:r>
              <w:rPr>
                <w:rFonts w:hint="eastAsia"/>
                <w:sz w:val="24"/>
              </w:rPr>
              <w:t>2、废水：</w:t>
            </w:r>
            <w:r>
              <w:rPr>
                <w:sz w:val="24"/>
              </w:rPr>
              <w:t>本项目</w:t>
            </w:r>
            <w:r>
              <w:rPr>
                <w:rFonts w:hint="eastAsia"/>
                <w:sz w:val="24"/>
              </w:rPr>
              <w:t>实施后，排水采用雨污分流制，雨水进入雨水管网，最终进入店埠河。本项目废水主要是职工办公生活污水和玻璃清洗废水、磨边废水，预计年废水排放量为1848.8吨（年工作日按300天计算）。主要污染因子COD、BOD</w:t>
            </w:r>
            <w:r>
              <w:rPr>
                <w:rFonts w:hint="eastAsia"/>
                <w:sz w:val="24"/>
                <w:vertAlign w:val="subscript"/>
              </w:rPr>
              <w:t>5</w:t>
            </w:r>
            <w:r>
              <w:rPr>
                <w:rFonts w:hint="eastAsia"/>
                <w:sz w:val="24"/>
              </w:rPr>
              <w:t>、SS、NH</w:t>
            </w:r>
            <w:r>
              <w:rPr>
                <w:rFonts w:hint="eastAsia"/>
                <w:sz w:val="24"/>
                <w:vertAlign w:val="subscript"/>
              </w:rPr>
              <w:t>3</w:t>
            </w:r>
            <w:r>
              <w:rPr>
                <w:rFonts w:hint="eastAsia"/>
                <w:sz w:val="24"/>
              </w:rPr>
              <w:t>-N，废水经沉淀池、化粪池预处理后由污水管网排入联熹污水处</w:t>
            </w:r>
            <w:r>
              <w:rPr>
                <w:rFonts w:hint="eastAsia" w:ascii="宋体" w:hAnsi="宋体"/>
                <w:kern w:val="0"/>
                <w:sz w:val="24"/>
              </w:rPr>
              <w:t>理厂集中处理</w:t>
            </w:r>
            <w:r>
              <w:rPr>
                <w:rFonts w:ascii="宋体" w:hAnsi="宋体"/>
                <w:kern w:val="0"/>
                <w:sz w:val="24"/>
              </w:rPr>
              <w:t>达到</w:t>
            </w:r>
            <w:r>
              <w:rPr>
                <w:rFonts w:hint="eastAsia" w:ascii="宋体" w:hAnsi="宋体"/>
                <w:kern w:val="0"/>
                <w:sz w:val="24"/>
              </w:rPr>
              <w:t>标准后</w:t>
            </w:r>
            <w:r>
              <w:rPr>
                <w:rFonts w:hint="eastAsia"/>
                <w:sz w:val="24"/>
              </w:rPr>
              <w:t>排入店埠河，</w:t>
            </w:r>
            <w:r>
              <w:rPr>
                <w:rFonts w:hint="eastAsia"/>
                <w:sz w:val="24"/>
                <w:lang w:val="en-GB"/>
              </w:rPr>
              <w:t>不会降低项目区现有水环境功能</w:t>
            </w:r>
            <w:r>
              <w:rPr>
                <w:sz w:val="24"/>
              </w:rPr>
              <w:t>。</w:t>
            </w:r>
          </w:p>
          <w:p>
            <w:pPr>
              <w:spacing w:line="360" w:lineRule="auto"/>
              <w:ind w:firstLine="480" w:firstLineChars="200"/>
              <w:rPr>
                <w:rFonts w:ascii="宋体" w:hAnsi="宋体"/>
                <w:sz w:val="24"/>
              </w:rPr>
            </w:pPr>
            <w:r>
              <w:rPr>
                <w:rFonts w:hint="eastAsia"/>
                <w:sz w:val="24"/>
              </w:rPr>
              <w:t>3、噪声：本项目主要噪声源为各种生产设备运行产生的噪声。本项目噪声污染主要来自机械设备。产噪源强均位于在厂房内，声源强度一般在80~90</w:t>
            </w:r>
            <w:r>
              <w:rPr>
                <w:sz w:val="24"/>
              </w:rPr>
              <w:t>dB</w:t>
            </w:r>
            <w:r>
              <w:rPr>
                <w:rFonts w:hint="eastAsia"/>
                <w:sz w:val="24"/>
              </w:rPr>
              <w:t>（A）。对噪声源采取有效的隔声、减振</w:t>
            </w:r>
            <w:r>
              <w:rPr>
                <w:rFonts w:hAnsi="宋体"/>
                <w:sz w:val="24"/>
              </w:rPr>
              <w:t>等措施</w:t>
            </w:r>
            <w:r>
              <w:rPr>
                <w:rFonts w:hint="eastAsia" w:hAnsi="宋体"/>
                <w:sz w:val="24"/>
              </w:rPr>
              <w:t>后</w:t>
            </w:r>
            <w:r>
              <w:rPr>
                <w:rFonts w:hAnsi="宋体"/>
                <w:sz w:val="24"/>
              </w:rPr>
              <w:t>，</w:t>
            </w:r>
            <w:r>
              <w:rPr>
                <w:rFonts w:hint="eastAsia" w:hAnsi="宋体"/>
                <w:sz w:val="24"/>
              </w:rPr>
              <w:t>经预测</w:t>
            </w:r>
            <w:r>
              <w:rPr>
                <w:rFonts w:hAnsi="宋体"/>
                <w:sz w:val="24"/>
              </w:rPr>
              <w:t>项目</w:t>
            </w:r>
            <w:r>
              <w:rPr>
                <w:rFonts w:hint="eastAsia" w:hAnsi="宋体"/>
                <w:sz w:val="24"/>
              </w:rPr>
              <w:t>厂界</w:t>
            </w:r>
            <w:r>
              <w:rPr>
                <w:rFonts w:hAnsi="宋体"/>
                <w:sz w:val="24"/>
              </w:rPr>
              <w:t>噪声</w:t>
            </w:r>
            <w:r>
              <w:rPr>
                <w:rFonts w:hint="eastAsia" w:hAnsi="宋体"/>
                <w:sz w:val="24"/>
              </w:rPr>
              <w:t>排放</w:t>
            </w:r>
            <w:r>
              <w:rPr>
                <w:rFonts w:hAnsi="宋体"/>
                <w:sz w:val="24"/>
              </w:rPr>
              <w:t>可以达到《</w:t>
            </w:r>
            <w:r>
              <w:rPr>
                <w:rFonts w:hint="eastAsia" w:hAnsi="宋体"/>
                <w:sz w:val="24"/>
              </w:rPr>
              <w:t>工业企业厂界</w:t>
            </w:r>
            <w:r>
              <w:rPr>
                <w:rFonts w:hAnsi="宋体"/>
                <w:sz w:val="24"/>
              </w:rPr>
              <w:t>环境噪声排放标准》（GB</w:t>
            </w:r>
            <w:r>
              <w:rPr>
                <w:rFonts w:hint="eastAsia" w:hAnsi="宋体"/>
                <w:sz w:val="24"/>
              </w:rPr>
              <w:t>12348</w:t>
            </w:r>
            <w:r>
              <w:rPr>
                <w:rFonts w:hAnsi="宋体"/>
                <w:sz w:val="24"/>
              </w:rPr>
              <w:t>-2008）中</w:t>
            </w:r>
            <w:r>
              <w:rPr>
                <w:rFonts w:hint="eastAsia" w:hAnsi="宋体"/>
                <w:sz w:val="24"/>
              </w:rPr>
              <w:t>3</w:t>
            </w:r>
            <w:r>
              <w:rPr>
                <w:rFonts w:hAnsi="宋体"/>
                <w:sz w:val="24"/>
              </w:rPr>
              <w:t>类标准要求</w:t>
            </w:r>
            <w:r>
              <w:rPr>
                <w:rFonts w:hint="eastAsia" w:hAnsi="宋体"/>
                <w:sz w:val="24"/>
              </w:rPr>
              <w:t>。</w:t>
            </w:r>
            <w:r>
              <w:rPr>
                <w:rFonts w:hint="eastAsia" w:ascii="宋体" w:hAnsi="宋体"/>
                <w:sz w:val="24"/>
              </w:rPr>
              <w:t>因此，项目运营期噪声排放对周围环境影响较小。</w:t>
            </w:r>
          </w:p>
          <w:p>
            <w:pPr>
              <w:autoSpaceDE w:val="0"/>
              <w:autoSpaceDN w:val="0"/>
              <w:adjustRightInd w:val="0"/>
              <w:spacing w:line="460" w:lineRule="exact"/>
              <w:ind w:firstLine="480" w:firstLineChars="200"/>
              <w:rPr>
                <w:sz w:val="24"/>
              </w:rPr>
            </w:pPr>
            <w:r>
              <w:rPr>
                <w:rFonts w:hint="eastAsia"/>
                <w:sz w:val="24"/>
              </w:rPr>
              <w:t>4、固废：</w:t>
            </w:r>
            <w:r>
              <w:rPr>
                <w:rFonts w:hAnsi="宋体"/>
                <w:sz w:val="24"/>
              </w:rPr>
              <w:t>本项目</w:t>
            </w:r>
            <w:r>
              <w:rPr>
                <w:rFonts w:hint="eastAsia" w:hAnsi="宋体"/>
                <w:sz w:val="24"/>
              </w:rPr>
              <w:t>营运期产生的固体废弃物主要为</w:t>
            </w:r>
            <w:r>
              <w:rPr>
                <w:rFonts w:hint="eastAsia"/>
                <w:bCs/>
                <w:sz w:val="24"/>
              </w:rPr>
              <w:t>废玻璃、边角料及沉淀池池渣</w:t>
            </w:r>
            <w:r>
              <w:rPr>
                <w:rFonts w:hint="eastAsia"/>
                <w:sz w:val="24"/>
              </w:rPr>
              <w:t>、职工生活产生的生活垃圾、废活性炭、废胶桶等。</w:t>
            </w:r>
          </w:p>
          <w:p>
            <w:pPr>
              <w:autoSpaceDE w:val="0"/>
              <w:autoSpaceDN w:val="0"/>
              <w:adjustRightInd w:val="0"/>
              <w:spacing w:line="460" w:lineRule="exact"/>
              <w:ind w:firstLine="480" w:firstLineChars="200"/>
              <w:rPr>
                <w:sz w:val="24"/>
              </w:rPr>
            </w:pPr>
            <w:r>
              <w:rPr>
                <w:rFonts w:hint="eastAsia"/>
                <w:sz w:val="24"/>
              </w:rPr>
              <w:t>职工生活垃圾委托环卫部门处置；废玻璃、边角料由玻璃生产厂家回收再利用；沉淀池泥渣及废包装物外售；废活性炭、废胶桶</w:t>
            </w:r>
            <w:r>
              <w:rPr>
                <w:sz w:val="24"/>
              </w:rPr>
              <w:t>分类收集后暂存于危废暂存间，交由</w:t>
            </w:r>
            <w:r>
              <w:rPr>
                <w:rFonts w:hint="eastAsia"/>
                <w:sz w:val="24"/>
              </w:rPr>
              <w:t>安徽上峰杰夏环保科技有限责任公司</w:t>
            </w:r>
            <w:r>
              <w:rPr>
                <w:sz w:val="24"/>
              </w:rPr>
              <w:t>处置</w:t>
            </w:r>
            <w:r>
              <w:rPr>
                <w:rFonts w:hint="eastAsia"/>
                <w:sz w:val="24"/>
              </w:rPr>
              <w:t>。</w:t>
            </w:r>
          </w:p>
          <w:p>
            <w:pPr>
              <w:autoSpaceDE w:val="0"/>
              <w:autoSpaceDN w:val="0"/>
              <w:adjustRightInd w:val="0"/>
              <w:spacing w:line="460" w:lineRule="exact"/>
              <w:ind w:firstLine="480" w:firstLineChars="200"/>
              <w:rPr>
                <w:sz w:val="24"/>
              </w:rPr>
            </w:pPr>
            <w:r>
              <w:rPr>
                <w:rFonts w:hint="eastAsia"/>
                <w:sz w:val="24"/>
              </w:rPr>
              <w:t>通过采取以上措施，建设项目各项固体废物均能得到有效处置，处置方案可行，经过以上处置措施后可达到零排放,不会产生二次污染。</w:t>
            </w:r>
          </w:p>
          <w:p>
            <w:pPr>
              <w:autoSpaceDE w:val="0"/>
              <w:autoSpaceDN w:val="0"/>
              <w:adjustRightInd w:val="0"/>
              <w:spacing w:line="460" w:lineRule="exact"/>
              <w:ind w:firstLine="480" w:firstLineChars="200"/>
              <w:rPr>
                <w:sz w:val="24"/>
              </w:rPr>
            </w:pPr>
            <w:r>
              <w:rPr>
                <w:rFonts w:hint="eastAsia"/>
                <w:sz w:val="24"/>
              </w:rPr>
              <w:t>综合所述，项目废水、废气、噪声和固废污染通过本报告中提出的有效防治措施后，不会对其周围环境造成明显不良影响。同时项目应严格落实本环评报告中的环保措施，且相应的环保措施必须经有关环保部门检验合格后，方可投入使用，并确保日后能够正常运行。</w:t>
            </w:r>
          </w:p>
          <w:p>
            <w:pPr>
              <w:autoSpaceDE w:val="0"/>
              <w:autoSpaceDN w:val="0"/>
              <w:adjustRightInd w:val="0"/>
              <w:spacing w:line="460" w:lineRule="exact"/>
              <w:ind w:firstLine="480" w:firstLineChars="200"/>
              <w:rPr>
                <w:sz w:val="24"/>
              </w:rPr>
            </w:pPr>
            <w:r>
              <w:rPr>
                <w:rFonts w:hint="eastAsia"/>
                <w:sz w:val="24"/>
              </w:rPr>
              <w:t>因此，从环境影响角度分析，安徽省振兴节能科技</w:t>
            </w:r>
            <w:r>
              <w:rPr>
                <w:sz w:val="24"/>
              </w:rPr>
              <w:t>有限公司玻璃</w:t>
            </w:r>
            <w:r>
              <w:rPr>
                <w:rFonts w:hint="eastAsia"/>
                <w:sz w:val="24"/>
              </w:rPr>
              <w:t>深加工</w:t>
            </w:r>
            <w:r>
              <w:rPr>
                <w:sz w:val="24"/>
              </w:rPr>
              <w:t>项目是可行的。</w:t>
            </w:r>
          </w:p>
          <w:p>
            <w:pPr>
              <w:pStyle w:val="12"/>
              <w:spacing w:after="0" w:line="360" w:lineRule="auto"/>
              <w:ind w:left="0" w:leftChars="0" w:firstLine="0" w:firstLineChars="0"/>
              <w:rPr>
                <w:b/>
                <w:bCs/>
                <w:sz w:val="24"/>
              </w:rPr>
            </w:pPr>
            <w:r>
              <w:rPr>
                <w:b/>
                <w:bCs/>
                <w:sz w:val="24"/>
              </w:rPr>
              <w:t>4</w:t>
            </w:r>
            <w:r>
              <w:rPr>
                <w:rFonts w:hint="eastAsia"/>
                <w:b/>
                <w:bCs/>
                <w:sz w:val="24"/>
              </w:rPr>
              <w:t>.2</w:t>
            </w:r>
            <w:r>
              <w:rPr>
                <w:b/>
                <w:bCs/>
                <w:sz w:val="24"/>
              </w:rPr>
              <w:t>审批部门审批决定</w:t>
            </w:r>
          </w:p>
          <w:p>
            <w:pPr>
              <w:spacing w:line="360" w:lineRule="auto"/>
              <w:rPr>
                <w:b/>
                <w:bCs/>
                <w:snapToGrid w:val="0"/>
                <w:kern w:val="0"/>
                <w:sz w:val="24"/>
              </w:rPr>
            </w:pPr>
            <w:r>
              <w:rPr>
                <w:rFonts w:hint="eastAsia"/>
                <w:b/>
                <w:bCs/>
                <w:sz w:val="24"/>
              </w:rPr>
              <w:t>审批意见：</w:t>
            </w:r>
          </w:p>
          <w:p>
            <w:pPr>
              <w:pStyle w:val="9"/>
              <w:spacing w:line="360" w:lineRule="auto"/>
              <w:jc w:val="right"/>
              <w:rPr>
                <w:rFonts w:ascii="Times New Roman" w:hAnsi="Times New Roman"/>
                <w:snapToGrid w:val="0"/>
                <w:kern w:val="0"/>
                <w:sz w:val="24"/>
              </w:rPr>
            </w:pPr>
            <w:r>
              <w:rPr>
                <w:rFonts w:hint="eastAsia" w:ascii="Times New Roman" w:hAnsi="Times New Roman"/>
                <w:snapToGrid w:val="0"/>
                <w:kern w:val="0"/>
                <w:sz w:val="24"/>
              </w:rPr>
              <w:t>东环建审[2020]199号</w:t>
            </w:r>
          </w:p>
          <w:p>
            <w:pPr>
              <w:pStyle w:val="9"/>
              <w:spacing w:line="360" w:lineRule="auto"/>
              <w:jc w:val="both"/>
              <w:rPr>
                <w:rFonts w:cs="宋体"/>
                <w:sz w:val="24"/>
              </w:rPr>
            </w:pPr>
            <w:r>
              <w:rPr>
                <w:rFonts w:hint="eastAsia" w:cs="宋体"/>
                <w:sz w:val="24"/>
              </w:rPr>
              <w:t>安徽省振兴节能科技有限公司:</w:t>
            </w:r>
          </w:p>
          <w:p>
            <w:pPr>
              <w:pStyle w:val="9"/>
              <w:spacing w:line="360" w:lineRule="auto"/>
              <w:ind w:firstLine="480" w:firstLineChars="200"/>
              <w:jc w:val="both"/>
              <w:rPr>
                <w:rFonts w:cs="宋体"/>
                <w:sz w:val="24"/>
              </w:rPr>
            </w:pPr>
            <w:r>
              <w:rPr>
                <w:rFonts w:hint="eastAsia" w:cs="宋体"/>
                <w:sz w:val="24"/>
              </w:rPr>
              <w:t>你公司报来的《玻璃深加工项目环境影响报告表(报批稿)》(以下简称《报告表(报批稿)》)及相关材料收悉。经现场勘察、资料审核，现批复如下:</w:t>
            </w:r>
          </w:p>
          <w:p>
            <w:pPr>
              <w:pStyle w:val="9"/>
              <w:spacing w:line="360" w:lineRule="auto"/>
              <w:ind w:firstLine="480" w:firstLineChars="200"/>
              <w:jc w:val="both"/>
              <w:rPr>
                <w:rFonts w:cs="宋体"/>
                <w:sz w:val="24"/>
              </w:rPr>
            </w:pPr>
            <w:r>
              <w:rPr>
                <w:rFonts w:hint="eastAsia" w:cs="宋体"/>
                <w:sz w:val="24"/>
              </w:rPr>
              <w:t>一、拟建项目位于合肥循环经济示范园龙兴大道与乳泉路交口东南侧，</w:t>
            </w:r>
            <w:r>
              <w:rPr>
                <w:rFonts w:hint="eastAsia" w:ascii="Times New Roman" w:hAnsi="Times New Roman"/>
                <w:snapToGrid w:val="0"/>
                <w:kern w:val="0"/>
                <w:sz w:val="24"/>
              </w:rPr>
              <w:t>项目用地约39.3亩,建筑面积约26580m</w:t>
            </w:r>
            <w:r>
              <w:rPr>
                <w:rFonts w:hint="eastAsia" w:ascii="Times New Roman" w:hAnsi="Times New Roman"/>
                <w:snapToGrid w:val="0"/>
                <w:kern w:val="0"/>
                <w:sz w:val="24"/>
                <w:vertAlign w:val="superscript"/>
              </w:rPr>
              <w:t>3</w:t>
            </w:r>
            <w:r>
              <w:rPr>
                <w:rFonts w:hint="eastAsia" w:ascii="Times New Roman" w:hAnsi="Times New Roman"/>
                <w:snapToGrid w:val="0"/>
                <w:kern w:val="0"/>
                <w:sz w:val="24"/>
              </w:rPr>
              <w:t>，西侧为龙兴大道、北侧为乳泉路，四周现状均为空</w:t>
            </w:r>
            <w:r>
              <w:rPr>
                <w:rFonts w:hint="eastAsia" w:cs="宋体"/>
                <w:sz w:val="24"/>
              </w:rPr>
              <w:t>地，总投资</w:t>
            </w:r>
            <w:r>
              <w:rPr>
                <w:rFonts w:hint="eastAsia" w:ascii="Times New Roman" w:hAnsi="Times New Roman"/>
                <w:snapToGrid w:val="0"/>
                <w:kern w:val="0"/>
                <w:sz w:val="24"/>
              </w:rPr>
              <w:t>28038.97万</w:t>
            </w:r>
            <w:r>
              <w:rPr>
                <w:rFonts w:hint="eastAsia" w:cs="宋体"/>
                <w:sz w:val="24"/>
              </w:rPr>
              <w:t>元，其中环保投</w:t>
            </w:r>
            <w:r>
              <w:rPr>
                <w:rFonts w:hint="eastAsia" w:ascii="Times New Roman" w:hAnsi="Times New Roman"/>
                <w:snapToGrid w:val="0"/>
                <w:kern w:val="0"/>
                <w:sz w:val="24"/>
              </w:rPr>
              <w:t>资40万元。项目生产规模为年加工钢化玻璃75万m</w:t>
            </w:r>
            <w:r>
              <w:rPr>
                <w:rFonts w:hint="eastAsia" w:ascii="Times New Roman" w:hAnsi="Times New Roman"/>
                <w:snapToGrid w:val="0"/>
                <w:kern w:val="0"/>
                <w:sz w:val="24"/>
                <w:vertAlign w:val="superscript"/>
              </w:rPr>
              <w:t>2</w:t>
            </w:r>
            <w:r>
              <w:rPr>
                <w:rFonts w:hint="eastAsia" w:ascii="Times New Roman" w:hAnsi="Times New Roman"/>
                <w:snapToGrid w:val="0"/>
                <w:kern w:val="0"/>
                <w:sz w:val="24"/>
              </w:rPr>
              <w:t>、节能中空玻璃50万m</w:t>
            </w:r>
            <w:r>
              <w:rPr>
                <w:rFonts w:hint="eastAsia" w:ascii="Times New Roman" w:hAnsi="Times New Roman"/>
                <w:snapToGrid w:val="0"/>
                <w:kern w:val="0"/>
                <w:sz w:val="24"/>
                <w:vertAlign w:val="superscript"/>
              </w:rPr>
              <w:t>2</w:t>
            </w:r>
            <w:r>
              <w:rPr>
                <w:rFonts w:hint="eastAsia" w:ascii="Times New Roman" w:hAnsi="Times New Roman"/>
                <w:snapToGrid w:val="0"/>
                <w:kern w:val="0"/>
                <w:sz w:val="24"/>
              </w:rPr>
              <w:t>、内置百叶玻璃12.5万m</w:t>
            </w:r>
            <w:r>
              <w:rPr>
                <w:rFonts w:hint="eastAsia" w:ascii="Times New Roman" w:hAnsi="Times New Roman"/>
                <w:snapToGrid w:val="0"/>
                <w:kern w:val="0"/>
                <w:sz w:val="24"/>
                <w:vertAlign w:val="superscript"/>
              </w:rPr>
              <w:t>2</w:t>
            </w:r>
            <w:r>
              <w:rPr>
                <w:rFonts w:hint="eastAsia" w:ascii="Times New Roman" w:hAnsi="Times New Roman"/>
                <w:snapToGrid w:val="0"/>
                <w:kern w:val="0"/>
                <w:sz w:val="24"/>
              </w:rPr>
              <w:t>、夹层玻璃10万m</w:t>
            </w:r>
            <w:r>
              <w:rPr>
                <w:rFonts w:hint="eastAsia" w:ascii="Times New Roman" w:hAnsi="Times New Roman"/>
                <w:snapToGrid w:val="0"/>
                <w:kern w:val="0"/>
                <w:sz w:val="24"/>
                <w:vertAlign w:val="superscript"/>
              </w:rPr>
              <w:t>2</w:t>
            </w:r>
            <w:r>
              <w:rPr>
                <w:rFonts w:hint="eastAsia" w:ascii="Times New Roman" w:hAnsi="Times New Roman"/>
                <w:snapToGrid w:val="0"/>
                <w:kern w:val="0"/>
                <w:sz w:val="24"/>
              </w:rPr>
              <w:t>、百叶系统6.25万m</w:t>
            </w:r>
            <w:r>
              <w:rPr>
                <w:rFonts w:hint="eastAsia" w:ascii="Times New Roman" w:hAnsi="Times New Roman"/>
                <w:snapToGrid w:val="0"/>
                <w:kern w:val="0"/>
                <w:sz w:val="24"/>
                <w:vertAlign w:val="superscript"/>
              </w:rPr>
              <w:t>2</w:t>
            </w:r>
            <w:r>
              <w:rPr>
                <w:rFonts w:hint="eastAsia" w:ascii="Times New Roman" w:hAnsi="Times New Roman"/>
                <w:snapToGrid w:val="0"/>
                <w:kern w:val="0"/>
                <w:sz w:val="24"/>
              </w:rPr>
              <w:t>。主要生产设备包括:新增各类生产加工设备54台(套)，其中数控玻璃切割机3台、全自动磨边线5条、钢化炉1台、弯钢炉1套、均质炉1套、全自动夹层生产线1条、全自动中空生产线4条、百叶系统组装生产线5条、自动封胶线3条、丁基胶涂布机3台、高压釜1台、空气压缩机1台，配套新建公用工程和环保工程。项目已经肥东县发改委审</w:t>
            </w:r>
            <w:r>
              <w:rPr>
                <w:rFonts w:hint="eastAsia" w:cs="宋体"/>
                <w:sz w:val="24"/>
              </w:rPr>
              <w:t>核(发改审核</w:t>
            </w:r>
            <w:r>
              <w:rPr>
                <w:rFonts w:hint="eastAsia" w:ascii="Times New Roman" w:hAnsi="Times New Roman"/>
                <w:snapToGrid w:val="0"/>
                <w:kern w:val="0"/>
                <w:sz w:val="24"/>
              </w:rPr>
              <w:t>(2020) 320</w:t>
            </w:r>
            <w:r>
              <w:rPr>
                <w:rFonts w:hint="eastAsia" w:cs="宋体"/>
                <w:sz w:val="24"/>
              </w:rPr>
              <w:t>号)，符合国家产业政策。在落实各项环境保护措施的前提下，原则同意你公司按安徽启晨环境科技有限公司编制的《报告表(报批稿》)所列建设项目的性质、规模、内容、地点、生产工艺及其环境保护对策措施进行建设。未经批准，不得擅自改变项目性质、内容和扩大生产规模。</w:t>
            </w:r>
          </w:p>
          <w:p>
            <w:pPr>
              <w:pStyle w:val="9"/>
              <w:spacing w:line="360" w:lineRule="auto"/>
              <w:ind w:firstLine="480" w:firstLineChars="200"/>
              <w:jc w:val="both"/>
              <w:rPr>
                <w:rFonts w:cs="宋体"/>
                <w:sz w:val="24"/>
              </w:rPr>
            </w:pPr>
            <w:r>
              <w:rPr>
                <w:rFonts w:hint="eastAsia" w:cs="宋体"/>
                <w:sz w:val="24"/>
              </w:rPr>
              <w:t>二、为确保项目周边环境质量，在项目建设和运营过程中必须做到:</w:t>
            </w:r>
          </w:p>
          <w:p>
            <w:pPr>
              <w:pStyle w:val="9"/>
              <w:spacing w:line="360" w:lineRule="auto"/>
              <w:ind w:firstLine="480" w:firstLineChars="200"/>
              <w:jc w:val="both"/>
              <w:rPr>
                <w:rFonts w:cs="宋体"/>
                <w:sz w:val="24"/>
              </w:rPr>
            </w:pPr>
            <w:r>
              <w:rPr>
                <w:rFonts w:hint="eastAsia" w:cs="宋体"/>
                <w:sz w:val="24"/>
              </w:rPr>
              <w:t>(一)施工期:</w:t>
            </w:r>
          </w:p>
          <w:p>
            <w:pPr>
              <w:pStyle w:val="9"/>
              <w:spacing w:line="360" w:lineRule="auto"/>
              <w:ind w:firstLine="480" w:firstLineChars="200"/>
              <w:jc w:val="both"/>
              <w:rPr>
                <w:rFonts w:cs="宋体"/>
                <w:sz w:val="24"/>
              </w:rPr>
            </w:pPr>
            <w:r>
              <w:rPr>
                <w:rFonts w:hint="eastAsia" w:cs="宋体"/>
                <w:sz w:val="24"/>
              </w:rPr>
              <w:t>必须严格按照施工扬尘防治“六个百分百”标准落实到位。大型施工机械必须领有环保牌照方可进场施工:工程装修必须使用环保型油漆，采用人工涂刷，尽量减少对大气环境的污染:施工区域需设置临时隔声屏。施工噪声需达标排放:项目施工废水(砂浆水、设备车辆冲洗废永)经隔油池+沉淀池预处理后，回用或用于施工区洒水抑尘。施工人员生活污水</w:t>
            </w:r>
          </w:p>
          <w:p>
            <w:pPr>
              <w:pStyle w:val="9"/>
              <w:spacing w:line="360" w:lineRule="auto"/>
              <w:jc w:val="both"/>
              <w:rPr>
                <w:rFonts w:cs="宋体"/>
                <w:sz w:val="24"/>
              </w:rPr>
            </w:pPr>
            <w:r>
              <w:rPr>
                <w:rFonts w:hint="eastAsia" w:cs="宋体"/>
                <w:sz w:val="24"/>
              </w:rPr>
              <w:t>必须经临时化粪池预处理后，进入市政污水管网，再由联熹污水处理厂处理后达标排放:产生的渣土和建筑垃圾必须按照城管部门的要求进行外运，生活垃圾交与环卫部门集中处置。</w:t>
            </w:r>
          </w:p>
          <w:p>
            <w:pPr>
              <w:pStyle w:val="9"/>
              <w:spacing w:line="360" w:lineRule="auto"/>
              <w:ind w:firstLine="480" w:firstLineChars="200"/>
              <w:jc w:val="both"/>
              <w:rPr>
                <w:rFonts w:cs="宋体"/>
                <w:sz w:val="24"/>
              </w:rPr>
            </w:pPr>
            <w:r>
              <w:rPr>
                <w:rFonts w:hint="eastAsia" w:cs="宋体"/>
                <w:sz w:val="24"/>
              </w:rPr>
              <w:t>(二)运营期: 1、厂区应雨污分流，并在厂界外设置雨水规范化排口；食堂废水经隔油池处理后，随生活污水经自建的化粪池预处理后，通过市政污水管网接入园区联熹污水处理厂处理后达标排放;玻璃清洗废水和磨边废水经沉淀池处理后循环使用，高压斧泄压使用水冷却降温，冷却水循环使用，清洗废水和冷却水如需外排，需满足规定标准。</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2、玻</w:t>
            </w:r>
            <w:r>
              <w:rPr>
                <w:rFonts w:hint="eastAsia" w:cs="宋体"/>
                <w:sz w:val="24"/>
              </w:rPr>
              <w:t>璃磨边需带水作业；夹胶玻璃工序中的高压釜产生的有机废气需经缓冲罐+集气罩收集，中空玻璃和中空百叶玻璃所有施胶工序产生的有机废气需经各自的集气罩收集，上述废气经收集、合并后，通过一套二级活性炭吸附装置吸附处理后，由一根不低于15米高且高出楼</w:t>
            </w:r>
            <w:r>
              <w:rPr>
                <w:rFonts w:hint="eastAsia" w:ascii="Times New Roman" w:hAnsi="Times New Roman"/>
                <w:snapToGrid w:val="0"/>
                <w:kern w:val="0"/>
                <w:sz w:val="24"/>
              </w:rPr>
              <w:t>顶的排气简(P1)达标排放:食堂油烟经收集后，通过一套高效静电油烟净化器处理后,由一根不低于15米高且高出楼顶的排气简(P2) 达标排放:活性炭吸附装置一次填充675kg蜂窝状活性炭(碘值≥800mg/g)，在使用2.34吨PVB胶片、0.546吨丁基胶、11.71吨硅酮胶后，全部更换一次:上述废气处理设施必须满足收集效率》90%、VOCs净化效率≥90%、油烟净化效率≥85%，VOCs排放量</w:t>
            </w:r>
            <w:r>
              <w:rPr>
                <w:rFonts w:ascii="Times New Roman" w:hAnsi="Times New Roman"/>
                <w:snapToGrid w:val="0"/>
                <w:kern w:val="0"/>
                <w:sz w:val="24"/>
              </w:rPr>
              <w:t>≤</w:t>
            </w:r>
            <w:r>
              <w:rPr>
                <w:rFonts w:hint="eastAsia" w:ascii="Times New Roman" w:hAnsi="Times New Roman"/>
                <w:snapToGrid w:val="0"/>
                <w:kern w:val="0"/>
                <w:sz w:val="24"/>
              </w:rPr>
              <w:t>0.0565t/a。</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3、生产设备选用低噪音设备，对设备噪声源噪声分贝值超标的，应采取相应的减振、隔声、消声等降噪措施，确保厂界噪声达标。</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4、固体废物分类收集、处置。生产过程中产生的废玻璃、边角料、废包装袋等一般固废集中收集外售综合利用:废胶桶、废活性炭等危险废物应按规范暂存并定期交由有资质单位处理；沉淀池沉渣随生活垃圾交于环卫部门集中处置；项目需设置危废贮存间6m2，危废库应按照标准建设。</w:t>
            </w:r>
            <w:r>
              <w:rPr>
                <w:rFonts w:hint="eastAsia" w:ascii="Times New Roman" w:hAnsi="Times New Roman"/>
                <w:snapToGrid w:val="0"/>
                <w:kern w:val="0"/>
                <w:sz w:val="24"/>
              </w:rPr>
              <w:br w:type="textWrapping"/>
            </w:r>
            <w:r>
              <w:rPr>
                <w:rFonts w:hint="eastAsia" w:ascii="Times New Roman" w:hAnsi="Times New Roman"/>
                <w:snapToGrid w:val="0"/>
                <w:kern w:val="0"/>
                <w:sz w:val="24"/>
              </w:rPr>
              <w:t xml:space="preserve">    5、项目所有污染物排放口应按照《排污口规划化整治技术要求（试行）》（环监（1996）470号）规定落实到位。</w:t>
            </w:r>
            <w:r>
              <w:rPr>
                <w:rFonts w:hint="eastAsia" w:ascii="Times New Roman" w:hAnsi="Times New Roman"/>
                <w:snapToGrid w:val="0"/>
                <w:kern w:val="0"/>
                <w:sz w:val="24"/>
              </w:rPr>
              <w:br w:type="textWrapping"/>
            </w:r>
            <w:r>
              <w:rPr>
                <w:rFonts w:hint="eastAsia" w:ascii="Times New Roman" w:hAnsi="Times New Roman"/>
                <w:snapToGrid w:val="0"/>
                <w:kern w:val="0"/>
                <w:sz w:val="24"/>
              </w:rPr>
              <w:t xml:space="preserve">    6、《报告表(报批稿)》中如有与本批复不一致的，以批复为准，其他环境保护要求按照《报告表（报批稿）》执行。</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三、污染物排放执行标准</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1、清洗废水、冷却水排放执行联熹污水处理厂的接管标准，未规定的执行《污水排入城镇下水道水质标准》(GB/T31962-2015) B级标准。</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2、颗粒物执行《大气污染物综合排放标准》(GB16297-1996) 表2中厂界外监控浓度限值；VOCs排放参考执行天津市《工业企业挥发性有机污染物排放控制标准》(DB12/524-2020) 表1挥发性有机物有组织排放限值；厂区内vocs无组织排放执行《挥发性有机污染物无组织排放控制标准》(GB37822- 2019)附录A中特别排放限值。</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3、厂界噪声排放执行《工业企业厂界噪声排放标准》 (GB12348-2008)中3类标准。</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4、固体废物暂存及处置执行《一般工业固体废物贮存、处置场污染控制标准》(GB18599-2001)《 危险废物贮存污染控制标准》( GB18597-2001)及环保部公告(2013年第36号)规定的要求。</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四、你公司应严格执行环保“三同时”制度，各类污染防治设施设计方案需遵守环境保护工程技术规范要求。项目竣工后及时申请排污许可、履行环保验收手续，在取得排污许可、验收合格后，方可正式生产。废气处理设施收集处理效率达不到要求的，不得通过验收。</w:t>
            </w:r>
          </w:p>
          <w:p>
            <w:pPr>
              <w:pStyle w:val="9"/>
              <w:spacing w:line="360" w:lineRule="auto"/>
              <w:ind w:firstLine="480" w:firstLineChars="200"/>
              <w:jc w:val="both"/>
              <w:rPr>
                <w:rFonts w:ascii="Times New Roman" w:hAnsi="Times New Roman"/>
                <w:snapToGrid w:val="0"/>
                <w:kern w:val="0"/>
                <w:sz w:val="24"/>
              </w:rPr>
            </w:pPr>
            <w:r>
              <w:rPr>
                <w:rFonts w:hint="eastAsia" w:ascii="Times New Roman" w:hAnsi="Times New Roman"/>
                <w:snapToGrid w:val="0"/>
                <w:kern w:val="0"/>
                <w:sz w:val="24"/>
              </w:rPr>
              <w:t>此复</w:t>
            </w:r>
          </w:p>
          <w:p>
            <w:pPr>
              <w:pStyle w:val="9"/>
              <w:spacing w:line="360" w:lineRule="auto"/>
              <w:ind w:left="480"/>
              <w:jc w:val="right"/>
              <w:rPr>
                <w:rFonts w:ascii="Times New Roman" w:hAnsi="Times New Roman"/>
                <w:snapToGrid w:val="0"/>
                <w:kern w:val="0"/>
                <w:sz w:val="24"/>
              </w:rPr>
            </w:pPr>
            <w:r>
              <w:rPr>
                <w:rFonts w:hint="eastAsia" w:ascii="Times New Roman" w:hAnsi="Times New Roman"/>
                <w:snapToGrid w:val="0"/>
                <w:kern w:val="0"/>
                <w:sz w:val="24"/>
              </w:rPr>
              <w:t xml:space="preserve">                                                  肥东县环境保护局</w:t>
            </w:r>
          </w:p>
          <w:p>
            <w:pPr>
              <w:spacing w:line="360" w:lineRule="auto"/>
              <w:ind w:firstLine="480" w:firstLineChars="200"/>
              <w:jc w:val="right"/>
              <w:rPr>
                <w:bCs/>
                <w:sz w:val="24"/>
              </w:rPr>
            </w:pPr>
            <w:r>
              <w:rPr>
                <w:rFonts w:hint="eastAsia"/>
                <w:snapToGrid w:val="0"/>
                <w:kern w:val="0"/>
                <w:sz w:val="24"/>
              </w:rPr>
              <w:t xml:space="preserve">                                                       </w:t>
            </w:r>
            <w:r>
              <w:rPr>
                <w:snapToGrid w:val="0"/>
                <w:kern w:val="0"/>
                <w:sz w:val="24"/>
              </w:rPr>
              <w:t>20</w:t>
            </w:r>
            <w:r>
              <w:rPr>
                <w:rFonts w:hint="eastAsia"/>
                <w:snapToGrid w:val="0"/>
                <w:kern w:val="0"/>
                <w:sz w:val="24"/>
              </w:rPr>
              <w:t>20</w:t>
            </w:r>
            <w:r>
              <w:rPr>
                <w:snapToGrid w:val="0"/>
                <w:kern w:val="0"/>
                <w:sz w:val="24"/>
              </w:rPr>
              <w:t>年</w:t>
            </w:r>
            <w:r>
              <w:rPr>
                <w:rFonts w:hint="eastAsia"/>
                <w:snapToGrid w:val="0"/>
                <w:kern w:val="0"/>
                <w:sz w:val="24"/>
              </w:rPr>
              <w:t>11</w:t>
            </w:r>
            <w:r>
              <w:rPr>
                <w:snapToGrid w:val="0"/>
                <w:kern w:val="0"/>
                <w:sz w:val="24"/>
              </w:rPr>
              <w:t>月</w:t>
            </w:r>
            <w:r>
              <w:rPr>
                <w:rFonts w:hint="eastAsia"/>
                <w:snapToGrid w:val="0"/>
                <w:kern w:val="0"/>
                <w:sz w:val="24"/>
              </w:rPr>
              <w:t>24</w:t>
            </w:r>
            <w:r>
              <w:rPr>
                <w:snapToGrid w:val="0"/>
                <w:kern w:val="0"/>
                <w:sz w:val="24"/>
              </w:rPr>
              <w:t>日</w:t>
            </w:r>
          </w:p>
          <w:p>
            <w:pPr>
              <w:spacing w:line="360" w:lineRule="auto"/>
              <w:rPr>
                <w:b/>
                <w:sz w:val="24"/>
              </w:rPr>
            </w:pPr>
            <w:r>
              <w:rPr>
                <w:rFonts w:hint="eastAsia"/>
                <w:b/>
                <w:sz w:val="24"/>
              </w:rPr>
              <w:t>4.3</w:t>
            </w:r>
            <w:r>
              <w:rPr>
                <w:b/>
                <w:sz w:val="24"/>
              </w:rPr>
              <w:t>环评、环评批复</w:t>
            </w:r>
            <w:r>
              <w:rPr>
                <w:rFonts w:hint="eastAsia"/>
                <w:b/>
                <w:sz w:val="24"/>
              </w:rPr>
              <w:t>落实情况</w:t>
            </w:r>
            <w:r>
              <w:rPr>
                <w:b/>
                <w:sz w:val="24"/>
              </w:rPr>
              <w:t>检查</w:t>
            </w:r>
          </w:p>
          <w:p>
            <w:pPr>
              <w:pStyle w:val="12"/>
              <w:spacing w:after="0" w:line="360" w:lineRule="auto"/>
              <w:ind w:left="0" w:leftChars="0" w:firstLine="422"/>
              <w:jc w:val="center"/>
              <w:rPr>
                <w:b/>
                <w:szCs w:val="21"/>
              </w:rPr>
            </w:pPr>
            <w:r>
              <w:rPr>
                <w:b/>
                <w:szCs w:val="21"/>
              </w:rPr>
              <w:t>表</w:t>
            </w:r>
            <w:r>
              <w:rPr>
                <w:rFonts w:hint="eastAsia"/>
                <w:b/>
                <w:szCs w:val="21"/>
              </w:rPr>
              <w:t>4</w:t>
            </w:r>
            <w:r>
              <w:rPr>
                <w:b/>
                <w:szCs w:val="21"/>
              </w:rPr>
              <w:t>-1   环评主要批复落实情况检查</w:t>
            </w:r>
          </w:p>
          <w:tbl>
            <w:tblPr>
              <w:tblStyle w:val="23"/>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458"/>
              <w:gridCol w:w="4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7" w:hRule="atLeast"/>
                <w:jc w:val="center"/>
              </w:trPr>
              <w:tc>
                <w:tcPr>
                  <w:tcW w:w="604" w:type="dxa"/>
                  <w:vAlign w:val="center"/>
                </w:tcPr>
                <w:p>
                  <w:pPr>
                    <w:ind w:left="105" w:leftChars="50" w:right="105" w:rightChars="50"/>
                    <w:jc w:val="center"/>
                    <w:rPr>
                      <w:szCs w:val="21"/>
                    </w:rPr>
                  </w:pPr>
                  <w:r>
                    <w:rPr>
                      <w:szCs w:val="21"/>
                    </w:rPr>
                    <w:t>序号</w:t>
                  </w:r>
                </w:p>
              </w:tc>
              <w:tc>
                <w:tcPr>
                  <w:tcW w:w="4458" w:type="dxa"/>
                  <w:vAlign w:val="center"/>
                </w:tcPr>
                <w:p>
                  <w:pPr>
                    <w:ind w:left="105" w:leftChars="50" w:right="105" w:rightChars="50"/>
                    <w:jc w:val="center"/>
                    <w:rPr>
                      <w:szCs w:val="21"/>
                    </w:rPr>
                  </w:pPr>
                  <w:r>
                    <w:rPr>
                      <w:szCs w:val="21"/>
                    </w:rPr>
                    <w:t>环评、环评批复要求</w:t>
                  </w:r>
                </w:p>
              </w:tc>
              <w:tc>
                <w:tcPr>
                  <w:tcW w:w="4292" w:type="dxa"/>
                  <w:vAlign w:val="center"/>
                </w:tcPr>
                <w:p>
                  <w:pPr>
                    <w:ind w:left="105" w:leftChars="50" w:right="105" w:rightChars="50"/>
                    <w:jc w:val="center"/>
                    <w:rPr>
                      <w:szCs w:val="21"/>
                      <w:highlight w:val="yellow"/>
                    </w:rPr>
                  </w:pPr>
                  <w:r>
                    <w:rPr>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4" w:hRule="atLeast"/>
                <w:jc w:val="center"/>
              </w:trPr>
              <w:tc>
                <w:tcPr>
                  <w:tcW w:w="604" w:type="dxa"/>
                  <w:vAlign w:val="center"/>
                </w:tcPr>
                <w:p>
                  <w:pPr>
                    <w:ind w:left="105" w:leftChars="50" w:right="105" w:rightChars="50"/>
                    <w:jc w:val="center"/>
                    <w:rPr>
                      <w:szCs w:val="21"/>
                    </w:rPr>
                  </w:pPr>
                  <w:r>
                    <w:rPr>
                      <w:rFonts w:hint="eastAsia"/>
                      <w:szCs w:val="21"/>
                    </w:rPr>
                    <w:t>一</w:t>
                  </w:r>
                </w:p>
              </w:tc>
              <w:tc>
                <w:tcPr>
                  <w:tcW w:w="4458"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施工期：必须严格按照施工扬尘防治“六个百分百”标准落实到位。大型施工机械必须领有环保牌照方可进场施工:工程装修必须使用环保型油漆，采用人工涂刷，尽量减少对大气环境的污染:施工区域需设置临时隔声屏。施工噪声需达标排放:项目施工废水(砂浆水、设备车辆冲洗废永)经隔油池+沉淀池预处理后，回用或用于施工区洒水抑尘。施工人员生活污水必须经临时化粪池预处理后，进入市政污水管网，再由联熹污水处理厂处理后达标排放:产生的渣土和建筑垃圾必须按照城管部门的要求进行外运，生活垃圾交与环卫部门集中处置。</w:t>
                  </w:r>
                </w:p>
                <w:p>
                  <w:pPr>
                    <w:pStyle w:val="9"/>
                    <w:ind w:firstLine="420" w:firstLineChars="200"/>
                    <w:jc w:val="left"/>
                    <w:rPr>
                      <w:rFonts w:ascii="Times New Roman" w:hAnsi="Times New Roman"/>
                      <w:sz w:val="21"/>
                      <w:szCs w:val="21"/>
                    </w:rPr>
                  </w:pPr>
                </w:p>
              </w:tc>
              <w:tc>
                <w:tcPr>
                  <w:tcW w:w="4292" w:type="dxa"/>
                  <w:vAlign w:val="center"/>
                </w:tcPr>
                <w:p>
                  <w:pPr>
                    <w:pStyle w:val="9"/>
                    <w:ind w:firstLine="420" w:firstLineChars="200"/>
                    <w:jc w:val="both"/>
                    <w:rPr>
                      <w:rFonts w:ascii="Times New Roman" w:hAnsi="Times New Roman"/>
                      <w:color w:val="FF0000"/>
                      <w:sz w:val="21"/>
                      <w:szCs w:val="21"/>
                    </w:rPr>
                  </w:pPr>
                  <w:r>
                    <w:rPr>
                      <w:rFonts w:hint="eastAsia" w:ascii="Times New Roman" w:hAnsi="Times New Roman"/>
                      <w:color w:val="auto"/>
                      <w:sz w:val="21"/>
                      <w:szCs w:val="21"/>
                    </w:rPr>
                    <w:t>施工期已完成。</w:t>
                  </w:r>
                  <w:r>
                    <w:rPr>
                      <w:rStyle w:val="29"/>
                      <w:rFonts w:hint="eastAsia"/>
                      <w:color w:val="auto"/>
                      <w:lang w:eastAsia="zh-CN"/>
                    </w:rPr>
                    <w:t>施工期严格按照</w:t>
                  </w:r>
                  <w:r>
                    <w:rPr>
                      <w:rFonts w:hint="eastAsia" w:ascii="Times New Roman" w:hAnsi="Times New Roman"/>
                      <w:color w:val="auto"/>
                      <w:sz w:val="21"/>
                      <w:szCs w:val="21"/>
                    </w:rPr>
                    <w:t>施工扬尘防治“六个百分百”标准落实到位</w:t>
                  </w:r>
                  <w:r>
                    <w:rPr>
                      <w:rFonts w:hint="eastAsia"/>
                      <w:color w:val="auto"/>
                      <w:sz w:val="21"/>
                      <w:szCs w:val="21"/>
                      <w:lang w:eastAsia="zh-CN"/>
                    </w:rPr>
                    <w:t>。</w:t>
                  </w:r>
                  <w:r>
                    <w:rPr>
                      <w:rFonts w:hint="eastAsia" w:ascii="Times New Roman" w:hAnsi="Times New Roman"/>
                      <w:color w:val="auto"/>
                      <w:sz w:val="21"/>
                      <w:szCs w:val="21"/>
                    </w:rPr>
                    <w:t>大型施工机械领有环保牌照进场施工:工程装修使用环保型油漆，采用人工涂刷，减少</w:t>
                  </w:r>
                  <w:r>
                    <w:rPr>
                      <w:rFonts w:hint="eastAsia" w:ascii="Times New Roman" w:hAnsi="Times New Roman"/>
                      <w:color w:val="auto"/>
                      <w:sz w:val="21"/>
                      <w:szCs w:val="21"/>
                      <w:lang w:eastAsia="zh-CN"/>
                    </w:rPr>
                    <w:t>了</w:t>
                  </w:r>
                  <w:r>
                    <w:rPr>
                      <w:rFonts w:hint="eastAsia" w:ascii="Times New Roman" w:hAnsi="Times New Roman"/>
                      <w:color w:val="auto"/>
                      <w:sz w:val="21"/>
                      <w:szCs w:val="21"/>
                    </w:rPr>
                    <w:t>对大气环境的污染:施工区域设置临时隔声屏。施工噪声达标排放:项目施工废水(砂浆水、设备车辆冲洗废永)经隔油池+沉淀池预处理后，回用于施工区洒水抑尘。施工人员生活污水经临时化粪池预处理后</w:t>
                  </w:r>
                  <w:r>
                    <w:rPr>
                      <w:rFonts w:hint="eastAsia" w:ascii="Times New Roman" w:hAnsi="Times New Roman"/>
                      <w:color w:val="auto"/>
                      <w:sz w:val="21"/>
                      <w:szCs w:val="21"/>
                      <w:lang w:eastAsia="zh-CN"/>
                    </w:rPr>
                    <w:t>由有资质单位清掏外运，</w:t>
                  </w:r>
                  <w:r>
                    <w:rPr>
                      <w:rFonts w:hint="eastAsia" w:ascii="Times New Roman" w:hAnsi="Times New Roman"/>
                      <w:color w:val="auto"/>
                      <w:sz w:val="21"/>
                      <w:szCs w:val="21"/>
                    </w:rPr>
                    <w:t>产生的渣土和建筑垃圾按照城管部门的要求进行外运，生活垃圾交与环卫部门集中处置。</w:t>
                  </w:r>
                </w:p>
                <w:p>
                  <w:pPr>
                    <w:ind w:firstLine="420" w:firstLineChars="200"/>
                    <w:jc w:val="center"/>
                    <w:rPr>
                      <w:rFonts w:hint="eastAsia" w:eastAsia="宋体"/>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4" w:hRule="atLeast"/>
                <w:jc w:val="center"/>
              </w:trPr>
              <w:tc>
                <w:tcPr>
                  <w:tcW w:w="604" w:type="dxa"/>
                  <w:vAlign w:val="center"/>
                </w:tcPr>
                <w:p>
                  <w:pPr>
                    <w:ind w:left="105" w:leftChars="50" w:right="105" w:rightChars="50"/>
                    <w:jc w:val="center"/>
                    <w:rPr>
                      <w:szCs w:val="21"/>
                    </w:rPr>
                  </w:pPr>
                  <w:r>
                    <w:rPr>
                      <w:rFonts w:hint="eastAsia"/>
                      <w:szCs w:val="21"/>
                    </w:rPr>
                    <w:t>二</w:t>
                  </w:r>
                </w:p>
              </w:tc>
              <w:tc>
                <w:tcPr>
                  <w:tcW w:w="4458"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运营期: 厂区应雨污分流，并在厂界外设置雨水规范化排口；食堂废水经隔油池处理后，随生活污水经自建的化粪池预处理后，通过市政污水管网接入园区联熹污水处理厂处理后达标排放;玻璃清洗废水和磨边废水经沉淀池处理后循环使用，高压斧泄压使用水冷却降温，冷却水循环使用，清洗废水和冷却水如需外排，需满足规定标准。</w:t>
                  </w:r>
                </w:p>
              </w:tc>
              <w:tc>
                <w:tcPr>
                  <w:tcW w:w="4292"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运营期: 厂区雨污分流，并在厂界外设置雨水规范化排口；食堂废水经隔油池处理后，随生活污水经自建的化粪池预处理后，通过市政污水管网接入园区联熹污水处理厂处理后达标排放;玻璃清洗废水和磨边废水经水处理净化设备处理后循环使用，高压斧泄压使用水冷却降温，冷却水循环使用</w:t>
                  </w:r>
                  <w:r>
                    <w:rPr>
                      <w:rFonts w:hint="eastAsia" w:ascii="Times New Roman" w:hAnsi="Times New Roman"/>
                      <w:color w:val="auto"/>
                      <w:sz w:val="21"/>
                      <w:szCs w:val="21"/>
                    </w:rPr>
                    <w:t>，清洗废水和冷却水</w:t>
                  </w:r>
                  <w:r>
                    <w:rPr>
                      <w:rFonts w:hint="eastAsia" w:ascii="Times New Roman" w:hAnsi="Times New Roman"/>
                      <w:color w:val="auto"/>
                      <w:sz w:val="21"/>
                      <w:szCs w:val="21"/>
                      <w:lang w:eastAsia="zh-CN"/>
                    </w:rPr>
                    <w:t>目前</w:t>
                  </w:r>
                  <w:r>
                    <w:rPr>
                      <w:rFonts w:hint="eastAsia" w:ascii="Times New Roman" w:hAnsi="Times New Roman"/>
                      <w:color w:val="auto"/>
                      <w:sz w:val="21"/>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604" w:type="dxa"/>
                  <w:vAlign w:val="center"/>
                </w:tcPr>
                <w:p>
                  <w:pPr>
                    <w:ind w:left="105" w:leftChars="50" w:right="105" w:rightChars="50"/>
                    <w:jc w:val="center"/>
                    <w:rPr>
                      <w:szCs w:val="21"/>
                    </w:rPr>
                  </w:pPr>
                  <w:r>
                    <w:rPr>
                      <w:rFonts w:hint="eastAsia"/>
                      <w:szCs w:val="21"/>
                    </w:rPr>
                    <w:t>三</w:t>
                  </w:r>
                </w:p>
              </w:tc>
              <w:tc>
                <w:tcPr>
                  <w:tcW w:w="4458"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运营期：玻璃磨边需带水作业；夹胶玻璃工序中的高压釜产生的有机废气需经缓冲罐+集气罩收集，中空玻璃和中空百叶玻璃所有施胶工序产生的有机废气需经各自的集气罩收集，上述废气经收集、合并后，通过一套二级活性炭吸附装置吸附处理后，由一根不低于15米高且高出楼顶的排气简(P1)达标排放:食堂油烟经收集后，通过一套高效静电油烟净化器处理后,由一根不低于15米高且高出楼顶的排气简(P2) 达标排放:活性炭吸附装置一次填充675kg蜂窝状活性炭(碘值≥800mg/g)，在使用2.34吨PVB胶片、0.546吨丁基胶、11.71吨硅酮胶后，全部更换一次：上述废气处理设施必须满足收集效率》90%、VOCs净化效率≥90%、油烟净化效率≥85%，VOCs排放量</w:t>
                  </w:r>
                  <w:r>
                    <w:rPr>
                      <w:rFonts w:ascii="Times New Roman" w:hAnsi="Times New Roman"/>
                      <w:sz w:val="21"/>
                      <w:szCs w:val="21"/>
                    </w:rPr>
                    <w:t>≤</w:t>
                  </w:r>
                  <w:r>
                    <w:rPr>
                      <w:rFonts w:hint="eastAsia" w:ascii="Times New Roman" w:hAnsi="Times New Roman"/>
                      <w:sz w:val="21"/>
                      <w:szCs w:val="21"/>
                    </w:rPr>
                    <w:t>0.0565t/a。</w:t>
                  </w:r>
                </w:p>
              </w:tc>
              <w:tc>
                <w:tcPr>
                  <w:tcW w:w="4292" w:type="dxa"/>
                  <w:vAlign w:val="center"/>
                </w:tcPr>
                <w:p>
                  <w:pPr>
                    <w:ind w:firstLine="420" w:firstLineChars="200"/>
                    <w:rPr>
                      <w:szCs w:val="21"/>
                    </w:rPr>
                  </w:pPr>
                  <w:r>
                    <w:rPr>
                      <w:rFonts w:hint="eastAsia"/>
                      <w:szCs w:val="21"/>
                    </w:rPr>
                    <w:t>运营期：玻璃磨边带水作业；夹胶玻璃工序中的高压釜产生的有机废气经缓冲罐+集气罩收集，中空玻璃和中空百叶玻璃所有施胶工序产生的有机废气经各自的集气罩收集，上述废气经收集、合并后，通过一套二级活性炭吸附装置吸附处理后，由一根15米高且高出楼顶的排气简(P1)达标排放；食堂油烟经收集后，通过一套高效静电油烟净化器处理后，由一根不低于15米高且高出楼顶的排气简(P2) 达标排放:活性炭吸附装置一次填充675kg蜂窝状活性炭(碘值≥800mg/g)，在使用2.34吨PVB胶片、0.546吨丁基胶、11.71吨硅酮胶后，全部更换一次：上述废气处理设施满足收集效率》90%、VOCs净化效率≥90%、油烟净化效率≥85%，VOCs排放量</w:t>
                  </w:r>
                  <w:r>
                    <w:rPr>
                      <w:szCs w:val="21"/>
                    </w:rPr>
                    <w:t>≤</w:t>
                  </w:r>
                  <w:r>
                    <w:rPr>
                      <w:rFonts w:hint="eastAsia"/>
                      <w:szCs w:val="21"/>
                    </w:rPr>
                    <w:t>0.0565t/a。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szCs w:val="21"/>
                    </w:rPr>
                  </w:pPr>
                  <w:r>
                    <w:rPr>
                      <w:rFonts w:hint="eastAsia"/>
                      <w:szCs w:val="21"/>
                    </w:rPr>
                    <w:t>四</w:t>
                  </w:r>
                </w:p>
              </w:tc>
              <w:tc>
                <w:tcPr>
                  <w:tcW w:w="4458"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运营期：生产设备选用低噪音设备，对设备噪声源噪声分贝值超标的，应采取相应的减振、隔声、消声等降噪措施，确保厂界噪声达标。</w:t>
                  </w:r>
                </w:p>
              </w:tc>
              <w:tc>
                <w:tcPr>
                  <w:tcW w:w="4292" w:type="dxa"/>
                  <w:vAlign w:val="center"/>
                </w:tcPr>
                <w:p>
                  <w:pPr>
                    <w:pStyle w:val="9"/>
                    <w:ind w:firstLine="420" w:firstLineChars="200"/>
                    <w:jc w:val="left"/>
                    <w:rPr>
                      <w:rFonts w:ascii="Times New Roman" w:hAnsi="Times New Roman"/>
                      <w:snapToGrid w:val="0"/>
                      <w:kern w:val="0"/>
                      <w:sz w:val="21"/>
                      <w:szCs w:val="21"/>
                    </w:rPr>
                  </w:pPr>
                  <w:r>
                    <w:rPr>
                      <w:rFonts w:hint="eastAsia" w:ascii="Times New Roman" w:hAnsi="Times New Roman"/>
                      <w:sz w:val="21"/>
                      <w:szCs w:val="21"/>
                    </w:rPr>
                    <w:t>运营期：生产设备选用低噪音设备，对设备噪声源噪声分贝值超标的，采取相应的减振、隔声、消声等降噪措施，确保厂界噪声达标。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szCs w:val="21"/>
                    </w:rPr>
                  </w:pPr>
                  <w:r>
                    <w:rPr>
                      <w:rFonts w:hint="eastAsia"/>
                      <w:szCs w:val="21"/>
                    </w:rPr>
                    <w:t>五</w:t>
                  </w:r>
                </w:p>
              </w:tc>
              <w:tc>
                <w:tcPr>
                  <w:tcW w:w="4458" w:type="dxa"/>
                  <w:vAlign w:val="center"/>
                </w:tcPr>
                <w:p>
                  <w:pPr>
                    <w:pStyle w:val="9"/>
                    <w:ind w:firstLine="420" w:firstLineChars="200"/>
                    <w:jc w:val="both"/>
                    <w:rPr>
                      <w:rFonts w:ascii="Times New Roman" w:hAnsi="Times New Roman"/>
                      <w:sz w:val="21"/>
                      <w:szCs w:val="21"/>
                    </w:rPr>
                  </w:pPr>
                  <w:r>
                    <w:rPr>
                      <w:rFonts w:hint="eastAsia" w:ascii="Times New Roman" w:hAnsi="Times New Roman"/>
                      <w:sz w:val="21"/>
                      <w:szCs w:val="21"/>
                    </w:rPr>
                    <w:t>运营期：固体废物分类收集、处置。生产过程中产生的废玻璃、边角料、废包装袋等一般固废集中收集外售综合利用:废胶桶、废活性炭等危险废物应按规范暂存并定期交由有资质单位处理；沉淀池沉渣随生活垃圾交于环卫部门集中处置；项目需设置危废贮存间6m</w:t>
                  </w:r>
                  <w:r>
                    <w:rPr>
                      <w:rFonts w:hint="eastAsia" w:ascii="Times New Roman" w:hAnsi="Times New Roman"/>
                      <w:sz w:val="21"/>
                      <w:szCs w:val="21"/>
                      <w:vertAlign w:val="superscript"/>
                    </w:rPr>
                    <w:t>2</w:t>
                  </w:r>
                  <w:r>
                    <w:rPr>
                      <w:rFonts w:hint="eastAsia" w:ascii="Times New Roman" w:hAnsi="Times New Roman"/>
                      <w:sz w:val="21"/>
                      <w:szCs w:val="21"/>
                    </w:rPr>
                    <w:t>，危废库应按照标准建设。</w:t>
                  </w:r>
                </w:p>
              </w:tc>
              <w:tc>
                <w:tcPr>
                  <w:tcW w:w="4292" w:type="dxa"/>
                  <w:vAlign w:val="center"/>
                </w:tcPr>
                <w:p>
                  <w:pPr>
                    <w:ind w:firstLine="420" w:firstLineChars="200"/>
                    <w:rPr>
                      <w:szCs w:val="21"/>
                    </w:rPr>
                  </w:pPr>
                  <w:r>
                    <w:rPr>
                      <w:rFonts w:hint="eastAsia"/>
                      <w:szCs w:val="21"/>
                    </w:rPr>
                    <w:t>运营期：固体废物分类收集、处置。生产过程中产生的废玻璃、边角料、废包装袋等一般固废集中收集外售综合利用:废胶桶、废活性炭等危险废物应按规范暂存并定期交由安徽上峰杰夏环保科技有限责任公司处理；沉渣随生活垃圾交于环卫部门集中处置；项目需设置危废贮存间6m</w:t>
                  </w:r>
                  <w:r>
                    <w:rPr>
                      <w:rFonts w:hint="eastAsia"/>
                      <w:szCs w:val="21"/>
                      <w:vertAlign w:val="superscript"/>
                    </w:rPr>
                    <w:t>2</w:t>
                  </w:r>
                  <w:r>
                    <w:rPr>
                      <w:rFonts w:hint="eastAsia"/>
                      <w:szCs w:val="21"/>
                    </w:rPr>
                    <w:t>，危废库已按照标准建设。</w:t>
                  </w:r>
                </w:p>
              </w:tc>
            </w:tr>
          </w:tbl>
          <w:p>
            <w:pPr>
              <w:spacing w:line="360" w:lineRule="auto"/>
              <w:rPr>
                <w:b/>
                <w:sz w:val="24"/>
              </w:rPr>
            </w:pPr>
            <w:r>
              <w:rPr>
                <w:rFonts w:hint="eastAsia"/>
                <w:b/>
                <w:sz w:val="24"/>
              </w:rPr>
              <w:t>4.4 环境防护距离</w:t>
            </w:r>
          </w:p>
          <w:p>
            <w:pPr>
              <w:spacing w:line="520" w:lineRule="exact"/>
              <w:ind w:firstLine="480" w:firstLineChars="200"/>
              <w:rPr>
                <w:sz w:val="24"/>
              </w:rPr>
            </w:pPr>
            <w:r>
              <w:rPr>
                <w:rFonts w:hint="eastAsia"/>
                <w:color w:val="auto"/>
                <w:sz w:val="24"/>
              </w:rPr>
              <w:t>根据环评，本项目</w:t>
            </w:r>
            <w:r>
              <w:rPr>
                <w:rFonts w:hint="eastAsia"/>
                <w:color w:val="auto"/>
                <w:sz w:val="24"/>
                <w:lang w:eastAsia="zh-CN"/>
              </w:rPr>
              <w:t>无需设置大气环境防护距离</w:t>
            </w:r>
            <w:r>
              <w:rPr>
                <w:color w:val="auto"/>
                <w:sz w:val="24"/>
              </w:rPr>
              <w:t>。</w:t>
            </w:r>
            <w:r>
              <w:rPr>
                <w:rFonts w:hint="eastAsia"/>
                <w:color w:val="auto"/>
                <w:sz w:val="24"/>
              </w:rPr>
              <w:t>根据实际现场勘查，项目周围无环境敏感点，</w:t>
            </w:r>
            <w:r>
              <w:rPr>
                <w:rFonts w:hint="eastAsia"/>
                <w:color w:val="auto"/>
                <w:sz w:val="24"/>
                <w:lang w:eastAsia="zh-CN"/>
              </w:rPr>
              <w:t>卫生防护距离内无敏感点</w:t>
            </w:r>
            <w:r>
              <w:rPr>
                <w:rFonts w:hint="eastAsia"/>
                <w:color w:val="auto"/>
                <w:sz w:val="24"/>
              </w:rPr>
              <w:t>。</w:t>
            </w:r>
          </w:p>
        </w:tc>
      </w:tr>
    </w:tbl>
    <w:p>
      <w:pPr>
        <w:rPr>
          <w:b/>
          <w:bCs/>
          <w:color w:val="000000"/>
          <w:sz w:val="32"/>
          <w:szCs w:val="32"/>
        </w:rPr>
      </w:pPr>
    </w:p>
    <w:p>
      <w:pPr>
        <w:rPr>
          <w:b/>
          <w:bCs/>
          <w:color w:val="000000"/>
          <w:sz w:val="32"/>
          <w:szCs w:val="32"/>
        </w:rPr>
      </w:pPr>
      <w:r>
        <w:rPr>
          <w:b/>
          <w:bCs/>
          <w:color w:val="000000"/>
          <w:sz w:val="32"/>
          <w:szCs w:val="32"/>
        </w:rPr>
        <w:t>表五</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44" w:hRule="atLeast"/>
          <w:jc w:val="center"/>
        </w:trPr>
        <w:tc>
          <w:tcPr>
            <w:tcW w:w="9638" w:type="dxa"/>
          </w:tcPr>
          <w:p>
            <w:pPr>
              <w:spacing w:line="360" w:lineRule="auto"/>
              <w:rPr>
                <w:b/>
                <w:bCs/>
                <w:color w:val="000000"/>
                <w:sz w:val="28"/>
                <w:szCs w:val="28"/>
              </w:rPr>
            </w:pPr>
            <w:r>
              <w:rPr>
                <w:b/>
                <w:bCs/>
                <w:color w:val="000000"/>
                <w:sz w:val="28"/>
                <w:szCs w:val="28"/>
              </w:rPr>
              <w:t>5验收监测质量保证及质量控制</w:t>
            </w:r>
          </w:p>
          <w:p>
            <w:pPr>
              <w:pStyle w:val="4"/>
              <w:spacing w:before="0" w:after="0" w:line="360" w:lineRule="auto"/>
              <w:outlineLvl w:val="1"/>
              <w:rPr>
                <w:color w:val="000000"/>
                <w:sz w:val="24"/>
                <w:szCs w:val="24"/>
              </w:rPr>
            </w:pPr>
            <w:bookmarkStart w:id="3" w:name="_Toc23999"/>
            <w:bookmarkStart w:id="4" w:name="_Toc24694"/>
            <w:bookmarkStart w:id="5" w:name="_Toc6468"/>
            <w:bookmarkStart w:id="6" w:name="_Toc13378"/>
            <w:r>
              <w:rPr>
                <w:color w:val="000000"/>
                <w:sz w:val="24"/>
                <w:szCs w:val="24"/>
              </w:rPr>
              <w:t>5.1</w:t>
            </w:r>
            <w:bookmarkEnd w:id="3"/>
            <w:bookmarkEnd w:id="4"/>
            <w:bookmarkEnd w:id="5"/>
            <w:r>
              <w:rPr>
                <w:color w:val="000000"/>
                <w:sz w:val="24"/>
                <w:szCs w:val="24"/>
              </w:rPr>
              <w:t>监测分析方法</w:t>
            </w:r>
            <w:bookmarkEnd w:id="6"/>
          </w:p>
          <w:tbl>
            <w:tblPr>
              <w:tblStyle w:val="24"/>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59"/>
              <w:gridCol w:w="3267"/>
              <w:gridCol w:w="230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5" w:type="dxa"/>
                  <w:vAlign w:val="center"/>
                </w:tcPr>
                <w:p>
                  <w:pPr>
                    <w:jc w:val="center"/>
                    <w:rPr>
                      <w:rFonts w:ascii="宋体"/>
                      <w:b/>
                      <w:szCs w:val="21"/>
                    </w:rPr>
                  </w:pPr>
                  <w:r>
                    <w:rPr>
                      <w:rFonts w:hint="eastAsia" w:ascii="宋体"/>
                      <w:b/>
                      <w:szCs w:val="21"/>
                    </w:rPr>
                    <w:t>序号</w:t>
                  </w:r>
                </w:p>
              </w:tc>
              <w:tc>
                <w:tcPr>
                  <w:tcW w:w="1559" w:type="dxa"/>
                  <w:vAlign w:val="center"/>
                </w:tcPr>
                <w:p>
                  <w:pPr>
                    <w:pStyle w:val="39"/>
                    <w:jc w:val="center"/>
                    <w:rPr>
                      <w:rFonts w:ascii="宋体" w:eastAsia="宋体"/>
                      <w:b/>
                      <w:szCs w:val="21"/>
                      <w:lang w:val="en-US"/>
                    </w:rPr>
                  </w:pPr>
                  <w:r>
                    <w:rPr>
                      <w:rFonts w:hint="eastAsia" w:ascii="宋体" w:eastAsia="宋体"/>
                      <w:b/>
                      <w:szCs w:val="21"/>
                      <w:lang w:val="en-US"/>
                    </w:rPr>
                    <w:t>检测项目</w:t>
                  </w:r>
                </w:p>
              </w:tc>
              <w:tc>
                <w:tcPr>
                  <w:tcW w:w="3267" w:type="dxa"/>
                  <w:vAlign w:val="center"/>
                </w:tcPr>
                <w:p>
                  <w:pPr>
                    <w:pStyle w:val="39"/>
                    <w:ind w:right="122"/>
                    <w:jc w:val="center"/>
                    <w:rPr>
                      <w:rFonts w:ascii="宋体" w:eastAsia="宋体"/>
                      <w:b/>
                      <w:szCs w:val="21"/>
                      <w:lang w:val="en-US"/>
                    </w:rPr>
                  </w:pPr>
                  <w:r>
                    <w:rPr>
                      <w:rFonts w:hint="eastAsia" w:ascii="宋体" w:eastAsia="宋体"/>
                      <w:b/>
                      <w:szCs w:val="21"/>
                      <w:lang w:val="en-US"/>
                    </w:rPr>
                    <w:t>分析方法</w:t>
                  </w:r>
                </w:p>
              </w:tc>
              <w:tc>
                <w:tcPr>
                  <w:tcW w:w="2305" w:type="dxa"/>
                  <w:vAlign w:val="center"/>
                </w:tcPr>
                <w:p>
                  <w:pPr>
                    <w:pStyle w:val="39"/>
                    <w:ind w:right="186"/>
                    <w:jc w:val="center"/>
                    <w:rPr>
                      <w:rFonts w:ascii="宋体" w:eastAsia="宋体"/>
                      <w:b/>
                      <w:szCs w:val="21"/>
                      <w:lang w:val="en-US"/>
                    </w:rPr>
                  </w:pPr>
                  <w:r>
                    <w:rPr>
                      <w:rFonts w:hint="eastAsia" w:ascii="宋体" w:eastAsia="宋体"/>
                      <w:b/>
                      <w:szCs w:val="21"/>
                      <w:lang w:val="en-US"/>
                    </w:rPr>
                    <w:t>方法依据</w:t>
                  </w:r>
                </w:p>
              </w:tc>
              <w:tc>
                <w:tcPr>
                  <w:tcW w:w="1522" w:type="dxa"/>
                  <w:vAlign w:val="center"/>
                </w:tcPr>
                <w:p>
                  <w:pPr>
                    <w:pStyle w:val="39"/>
                    <w:ind w:right="358"/>
                    <w:jc w:val="center"/>
                    <w:rPr>
                      <w:rFonts w:ascii="宋体" w:eastAsia="宋体"/>
                      <w:b/>
                      <w:szCs w:val="21"/>
                      <w:lang w:val="en-US"/>
                    </w:rPr>
                  </w:pPr>
                  <w:r>
                    <w:rPr>
                      <w:rFonts w:hint="eastAsia" w:ascii="宋体" w:eastAsia="宋体"/>
                      <w:b/>
                      <w:szCs w:val="21"/>
                      <w:lang w:val="en-US"/>
                    </w:rPr>
                    <w:t xml:space="preserve">  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1</w:t>
                  </w:r>
                </w:p>
              </w:tc>
              <w:tc>
                <w:tcPr>
                  <w:tcW w:w="1559" w:type="dxa"/>
                  <w:vAlign w:val="center"/>
                </w:tcPr>
                <w:p>
                  <w:pPr>
                    <w:jc w:val="center"/>
                    <w:rPr>
                      <w:rFonts w:ascii="宋体" w:hAnsi="宋体" w:cs="宋体"/>
                      <w:bCs/>
                      <w:szCs w:val="21"/>
                    </w:rPr>
                  </w:pPr>
                  <w:r>
                    <w:rPr>
                      <w:rFonts w:hint="eastAsia" w:ascii="宋体" w:hAnsi="宋体" w:cs="宋体"/>
                      <w:bCs/>
                      <w:szCs w:val="21"/>
                    </w:rPr>
                    <w:t>pH</w:t>
                  </w:r>
                </w:p>
              </w:tc>
              <w:tc>
                <w:tcPr>
                  <w:tcW w:w="3267" w:type="dxa"/>
                  <w:vAlign w:val="center"/>
                </w:tcPr>
                <w:p>
                  <w:pPr>
                    <w:jc w:val="center"/>
                    <w:rPr>
                      <w:rFonts w:ascii="宋体" w:hAnsi="宋体" w:cs="宋体"/>
                      <w:b/>
                      <w:szCs w:val="21"/>
                    </w:rPr>
                  </w:pPr>
                  <w:r>
                    <w:rPr>
                      <w:rFonts w:hint="eastAsia" w:ascii="宋体" w:hAnsi="宋体" w:cs="宋体"/>
                      <w:color w:val="000000"/>
                      <w:kern w:val="0"/>
                      <w:szCs w:val="21"/>
                    </w:rPr>
                    <w:t>水质 pH值的测定 电极法</w:t>
                  </w:r>
                </w:p>
              </w:tc>
              <w:tc>
                <w:tcPr>
                  <w:tcW w:w="2305" w:type="dxa"/>
                  <w:vAlign w:val="center"/>
                </w:tcPr>
                <w:p>
                  <w:pPr>
                    <w:spacing w:line="360" w:lineRule="auto"/>
                    <w:ind w:firstLine="420" w:firstLineChars="200"/>
                    <w:rPr>
                      <w:color w:val="000000"/>
                      <w:szCs w:val="21"/>
                    </w:rPr>
                  </w:pPr>
                  <w:r>
                    <w:rPr>
                      <w:rFonts w:hint="eastAsia"/>
                      <w:color w:val="000000"/>
                      <w:szCs w:val="21"/>
                    </w:rPr>
                    <w:t>HJ1147-2020</w:t>
                  </w:r>
                </w:p>
              </w:tc>
              <w:tc>
                <w:tcPr>
                  <w:tcW w:w="1522" w:type="dxa"/>
                  <w:vAlign w:val="center"/>
                </w:tcPr>
                <w:p>
                  <w:pPr>
                    <w:spacing w:line="360" w:lineRule="auto"/>
                    <w:ind w:firstLine="420" w:firstLineChars="20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2</w:t>
                  </w:r>
                </w:p>
              </w:tc>
              <w:tc>
                <w:tcPr>
                  <w:tcW w:w="1559" w:type="dxa"/>
                  <w:vAlign w:val="center"/>
                </w:tcPr>
                <w:p>
                  <w:pPr>
                    <w:jc w:val="center"/>
                    <w:rPr>
                      <w:rFonts w:ascii="宋体" w:hAnsi="宋体" w:cs="宋体"/>
                      <w:bCs/>
                      <w:szCs w:val="21"/>
                    </w:rPr>
                  </w:pPr>
                  <w:r>
                    <w:rPr>
                      <w:rFonts w:hint="eastAsia" w:ascii="宋体" w:hAnsi="宋体" w:cs="宋体"/>
                      <w:bCs/>
                      <w:szCs w:val="21"/>
                    </w:rPr>
                    <w:t>化学需氧量</w:t>
                  </w:r>
                </w:p>
              </w:tc>
              <w:tc>
                <w:tcPr>
                  <w:tcW w:w="3267" w:type="dxa"/>
                  <w:vAlign w:val="center"/>
                </w:tcPr>
                <w:p>
                  <w:pPr>
                    <w:jc w:val="center"/>
                    <w:rPr>
                      <w:rFonts w:ascii="宋体" w:hAnsi="宋体" w:cs="宋体"/>
                      <w:color w:val="000000"/>
                      <w:kern w:val="0"/>
                      <w:szCs w:val="21"/>
                    </w:rPr>
                  </w:pPr>
                  <w:r>
                    <w:rPr>
                      <w:rFonts w:hint="eastAsia" w:ascii="宋体" w:hAnsi="宋体" w:cs="宋体"/>
                      <w:color w:val="000000"/>
                      <w:szCs w:val="21"/>
                    </w:rPr>
                    <w:t>水质 化学需氧量的测定 重铬酸盐法</w:t>
                  </w:r>
                </w:p>
              </w:tc>
              <w:tc>
                <w:tcPr>
                  <w:tcW w:w="2305" w:type="dxa"/>
                  <w:vAlign w:val="center"/>
                </w:tcPr>
                <w:p>
                  <w:pPr>
                    <w:spacing w:line="360" w:lineRule="auto"/>
                    <w:ind w:firstLine="420" w:firstLineChars="200"/>
                    <w:rPr>
                      <w:color w:val="000000"/>
                      <w:szCs w:val="21"/>
                    </w:rPr>
                  </w:pPr>
                  <w:r>
                    <w:rPr>
                      <w:rFonts w:hint="eastAsia"/>
                      <w:color w:val="000000"/>
                      <w:szCs w:val="21"/>
                    </w:rPr>
                    <w:t>HJ828-2017</w:t>
                  </w:r>
                </w:p>
              </w:tc>
              <w:tc>
                <w:tcPr>
                  <w:tcW w:w="1522" w:type="dxa"/>
                  <w:vAlign w:val="center"/>
                </w:tcPr>
                <w:p>
                  <w:pPr>
                    <w:spacing w:line="360" w:lineRule="auto"/>
                    <w:ind w:firstLine="420" w:firstLineChars="200"/>
                    <w:rPr>
                      <w:color w:val="000000"/>
                      <w:szCs w:val="21"/>
                    </w:rPr>
                  </w:pPr>
                  <w:r>
                    <w:rPr>
                      <w:rFonts w:hint="eastAsia"/>
                      <w:color w:val="00000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3</w:t>
                  </w:r>
                </w:p>
              </w:tc>
              <w:tc>
                <w:tcPr>
                  <w:tcW w:w="1559" w:type="dxa"/>
                  <w:vAlign w:val="center"/>
                </w:tcPr>
                <w:p>
                  <w:pPr>
                    <w:jc w:val="center"/>
                    <w:rPr>
                      <w:rFonts w:ascii="宋体" w:hAnsi="宋体" w:cs="宋体"/>
                      <w:bCs/>
                      <w:szCs w:val="21"/>
                    </w:rPr>
                  </w:pPr>
                  <w:r>
                    <w:rPr>
                      <w:rFonts w:hint="eastAsia" w:ascii="宋体" w:hAnsi="宋体" w:cs="宋体"/>
                      <w:bCs/>
                      <w:szCs w:val="21"/>
                    </w:rPr>
                    <w:t>五日生化需氧量</w:t>
                  </w:r>
                </w:p>
              </w:tc>
              <w:tc>
                <w:tcPr>
                  <w:tcW w:w="3267" w:type="dxa"/>
                  <w:vAlign w:val="center"/>
                </w:tcPr>
                <w:p>
                  <w:pPr>
                    <w:jc w:val="center"/>
                    <w:rPr>
                      <w:rFonts w:ascii="宋体" w:hAnsi="宋体" w:cs="宋体"/>
                      <w:color w:val="000000"/>
                      <w:kern w:val="0"/>
                      <w:szCs w:val="21"/>
                    </w:rPr>
                  </w:pPr>
                  <w:r>
                    <w:rPr>
                      <w:rFonts w:hint="eastAsia" w:ascii="宋体" w:hAnsi="宋体" w:cs="宋体"/>
                      <w:color w:val="000000"/>
                      <w:szCs w:val="21"/>
                    </w:rPr>
                    <w:t>水质 生化需氧量（BOD）的测定 微生物传感器快速测定法</w:t>
                  </w:r>
                </w:p>
              </w:tc>
              <w:tc>
                <w:tcPr>
                  <w:tcW w:w="2305" w:type="dxa"/>
                  <w:vAlign w:val="center"/>
                </w:tcPr>
                <w:p>
                  <w:pPr>
                    <w:spacing w:line="360" w:lineRule="auto"/>
                    <w:ind w:firstLine="420" w:firstLineChars="200"/>
                    <w:rPr>
                      <w:color w:val="000000"/>
                      <w:szCs w:val="21"/>
                    </w:rPr>
                  </w:pPr>
                  <w:r>
                    <w:rPr>
                      <w:rFonts w:hint="eastAsia"/>
                      <w:color w:val="000000"/>
                      <w:szCs w:val="21"/>
                    </w:rPr>
                    <w:t>HJ/T86-2002</w:t>
                  </w:r>
                </w:p>
              </w:tc>
              <w:tc>
                <w:tcPr>
                  <w:tcW w:w="1522" w:type="dxa"/>
                  <w:vAlign w:val="center"/>
                </w:tcPr>
                <w:p>
                  <w:pPr>
                    <w:spacing w:line="360" w:lineRule="auto"/>
                    <w:ind w:firstLine="420" w:firstLineChars="20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4</w:t>
                  </w:r>
                </w:p>
              </w:tc>
              <w:tc>
                <w:tcPr>
                  <w:tcW w:w="1559" w:type="dxa"/>
                  <w:vAlign w:val="center"/>
                </w:tcPr>
                <w:p>
                  <w:pPr>
                    <w:jc w:val="center"/>
                    <w:rPr>
                      <w:rFonts w:ascii="宋体" w:hAnsi="宋体" w:cs="宋体"/>
                      <w:bCs/>
                      <w:szCs w:val="21"/>
                    </w:rPr>
                  </w:pPr>
                  <w:r>
                    <w:rPr>
                      <w:rFonts w:hint="eastAsia" w:ascii="宋体" w:hAnsi="宋体" w:cs="宋体"/>
                      <w:bCs/>
                      <w:szCs w:val="21"/>
                    </w:rPr>
                    <w:t>悬浮物</w:t>
                  </w:r>
                </w:p>
              </w:tc>
              <w:tc>
                <w:tcPr>
                  <w:tcW w:w="3267" w:type="dxa"/>
                  <w:vAlign w:val="center"/>
                </w:tcPr>
                <w:p>
                  <w:pPr>
                    <w:jc w:val="center"/>
                    <w:rPr>
                      <w:rFonts w:ascii="宋体" w:hAnsi="宋体" w:cs="宋体"/>
                      <w:color w:val="000000"/>
                      <w:kern w:val="0"/>
                      <w:szCs w:val="21"/>
                    </w:rPr>
                  </w:pPr>
                  <w:r>
                    <w:rPr>
                      <w:rFonts w:hint="eastAsia" w:ascii="宋体" w:hAnsi="宋体" w:cs="宋体"/>
                      <w:color w:val="000000"/>
                      <w:kern w:val="0"/>
                      <w:szCs w:val="21"/>
                    </w:rPr>
                    <w:t>水质 悬浮物的测定 重量法</w:t>
                  </w:r>
                </w:p>
              </w:tc>
              <w:tc>
                <w:tcPr>
                  <w:tcW w:w="2305" w:type="dxa"/>
                  <w:vAlign w:val="center"/>
                </w:tcPr>
                <w:p>
                  <w:pPr>
                    <w:spacing w:line="360" w:lineRule="auto"/>
                    <w:ind w:firstLine="420" w:firstLineChars="200"/>
                    <w:rPr>
                      <w:color w:val="000000"/>
                      <w:szCs w:val="21"/>
                    </w:rPr>
                  </w:pPr>
                  <w:r>
                    <w:rPr>
                      <w:rFonts w:hint="eastAsia"/>
                      <w:color w:val="000000"/>
                      <w:szCs w:val="21"/>
                    </w:rPr>
                    <w:t>GB11901-1989</w:t>
                  </w:r>
                </w:p>
              </w:tc>
              <w:tc>
                <w:tcPr>
                  <w:tcW w:w="1522" w:type="dxa"/>
                  <w:vAlign w:val="center"/>
                </w:tcPr>
                <w:p>
                  <w:pPr>
                    <w:spacing w:line="360" w:lineRule="auto"/>
                    <w:ind w:firstLine="420" w:firstLineChars="200"/>
                    <w:rPr>
                      <w:color w:val="000000"/>
                      <w:szCs w:val="21"/>
                    </w:rPr>
                  </w:pPr>
                  <w:r>
                    <w:rPr>
                      <w:rFonts w:hint="eastAsia"/>
                      <w:color w:val="00000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5</w:t>
                  </w:r>
                </w:p>
              </w:tc>
              <w:tc>
                <w:tcPr>
                  <w:tcW w:w="1559" w:type="dxa"/>
                  <w:vAlign w:val="center"/>
                </w:tcPr>
                <w:p>
                  <w:pPr>
                    <w:jc w:val="center"/>
                    <w:rPr>
                      <w:rFonts w:ascii="宋体" w:hAnsi="宋体" w:cs="宋体"/>
                      <w:bCs/>
                      <w:szCs w:val="21"/>
                    </w:rPr>
                  </w:pPr>
                  <w:r>
                    <w:rPr>
                      <w:rFonts w:hint="eastAsia" w:ascii="宋体" w:hAnsi="宋体" w:cs="宋体"/>
                      <w:bCs/>
                      <w:szCs w:val="21"/>
                    </w:rPr>
                    <w:t>氨氮</w:t>
                  </w:r>
                </w:p>
              </w:tc>
              <w:tc>
                <w:tcPr>
                  <w:tcW w:w="3267" w:type="dxa"/>
                  <w:vAlign w:val="center"/>
                </w:tcPr>
                <w:p>
                  <w:pPr>
                    <w:jc w:val="center"/>
                    <w:rPr>
                      <w:rFonts w:ascii="宋体" w:hAnsi="宋体" w:cs="宋体"/>
                      <w:color w:val="000000"/>
                      <w:szCs w:val="21"/>
                    </w:rPr>
                  </w:pPr>
                  <w:r>
                    <w:rPr>
                      <w:rFonts w:hint="eastAsia" w:ascii="宋体" w:hAnsi="宋体" w:cs="宋体"/>
                      <w:color w:val="000000"/>
                      <w:szCs w:val="21"/>
                    </w:rPr>
                    <w:t>水质 氨氮的测定 纳氏试剂分光光度法</w:t>
                  </w:r>
                </w:p>
              </w:tc>
              <w:tc>
                <w:tcPr>
                  <w:tcW w:w="2305" w:type="dxa"/>
                  <w:vAlign w:val="center"/>
                </w:tcPr>
                <w:p>
                  <w:pPr>
                    <w:spacing w:line="360" w:lineRule="auto"/>
                    <w:ind w:firstLine="420" w:firstLineChars="200"/>
                    <w:rPr>
                      <w:color w:val="000000"/>
                      <w:szCs w:val="21"/>
                    </w:rPr>
                  </w:pPr>
                  <w:r>
                    <w:rPr>
                      <w:rFonts w:hint="eastAsia"/>
                      <w:color w:val="000000"/>
                      <w:szCs w:val="21"/>
                    </w:rPr>
                    <w:t>HJ535-2009</w:t>
                  </w:r>
                </w:p>
              </w:tc>
              <w:tc>
                <w:tcPr>
                  <w:tcW w:w="1522" w:type="dxa"/>
                  <w:vAlign w:val="center"/>
                </w:tcPr>
                <w:p>
                  <w:pPr>
                    <w:spacing w:line="360" w:lineRule="auto"/>
                    <w:jc w:val="center"/>
                    <w:rPr>
                      <w:color w:val="000000"/>
                      <w:szCs w:val="21"/>
                    </w:rPr>
                  </w:pPr>
                  <w:r>
                    <w:rPr>
                      <w:rFonts w:hint="eastAsia"/>
                      <w:color w:val="000000"/>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6</w:t>
                  </w:r>
                </w:p>
              </w:tc>
              <w:tc>
                <w:tcPr>
                  <w:tcW w:w="1559" w:type="dxa"/>
                  <w:vMerge w:val="restart"/>
                  <w:vAlign w:val="center"/>
                </w:tcPr>
                <w:p>
                  <w:pPr>
                    <w:jc w:val="center"/>
                    <w:rPr>
                      <w:rFonts w:ascii="宋体" w:hAnsi="宋体" w:cs="宋体"/>
                      <w:bCs/>
                      <w:szCs w:val="21"/>
                    </w:rPr>
                  </w:pPr>
                  <w:r>
                    <w:rPr>
                      <w:rFonts w:hint="eastAsia" w:ascii="宋体" w:hAnsi="宋体" w:cs="宋体"/>
                      <w:bCs/>
                      <w:szCs w:val="21"/>
                    </w:rPr>
                    <w:t>非甲烷总烃</w:t>
                  </w:r>
                </w:p>
              </w:tc>
              <w:tc>
                <w:tcPr>
                  <w:tcW w:w="3267" w:type="dxa"/>
                  <w:vAlign w:val="center"/>
                </w:tcPr>
                <w:p>
                  <w:pPr>
                    <w:jc w:val="center"/>
                    <w:rPr>
                      <w:rFonts w:ascii="宋体" w:hAnsi="宋体" w:cs="宋体"/>
                      <w:color w:val="000000"/>
                      <w:szCs w:val="21"/>
                    </w:rPr>
                  </w:pPr>
                  <w:r>
                    <w:rPr>
                      <w:rFonts w:hint="eastAsia" w:ascii="宋体" w:hAnsi="宋体" w:cs="宋体"/>
                      <w:color w:val="000000"/>
                      <w:szCs w:val="21"/>
                    </w:rPr>
                    <w:t>环境空气 总烃、甲烷和非甲烷总烃的测定 直接进样-气相色谱法</w:t>
                  </w:r>
                </w:p>
              </w:tc>
              <w:tc>
                <w:tcPr>
                  <w:tcW w:w="2305" w:type="dxa"/>
                  <w:vAlign w:val="center"/>
                </w:tcPr>
                <w:p>
                  <w:pPr>
                    <w:spacing w:line="360" w:lineRule="auto"/>
                    <w:ind w:firstLine="420" w:firstLineChars="200"/>
                    <w:rPr>
                      <w:color w:val="000000"/>
                      <w:szCs w:val="21"/>
                    </w:rPr>
                  </w:pPr>
                  <w:r>
                    <w:rPr>
                      <w:rFonts w:hint="eastAsia"/>
                      <w:color w:val="000000"/>
                      <w:szCs w:val="21"/>
                    </w:rPr>
                    <w:t>HJ604-2017</w:t>
                  </w:r>
                </w:p>
              </w:tc>
              <w:tc>
                <w:tcPr>
                  <w:tcW w:w="1522" w:type="dxa"/>
                  <w:vAlign w:val="center"/>
                </w:tcPr>
                <w:p>
                  <w:pPr>
                    <w:spacing w:line="360" w:lineRule="auto"/>
                    <w:jc w:val="center"/>
                    <w:rPr>
                      <w:color w:val="000000"/>
                      <w:szCs w:val="21"/>
                    </w:rPr>
                  </w:pPr>
                  <w:r>
                    <w:rPr>
                      <w:rFonts w:hint="eastAsia"/>
                      <w:color w:val="000000"/>
                      <w:szCs w:val="21"/>
                    </w:rPr>
                    <w:t>0.07mg/m</w:t>
                  </w:r>
                  <w:r>
                    <w:rPr>
                      <w:rFonts w:hint="eastAsia"/>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7</w:t>
                  </w:r>
                </w:p>
              </w:tc>
              <w:tc>
                <w:tcPr>
                  <w:tcW w:w="1559" w:type="dxa"/>
                  <w:vMerge w:val="continue"/>
                  <w:vAlign w:val="center"/>
                </w:tcPr>
                <w:p>
                  <w:pPr>
                    <w:jc w:val="center"/>
                    <w:rPr>
                      <w:rFonts w:ascii="宋体" w:hAnsi="宋体" w:cs="宋体"/>
                      <w:bCs/>
                      <w:szCs w:val="21"/>
                    </w:rPr>
                  </w:pPr>
                </w:p>
              </w:tc>
              <w:tc>
                <w:tcPr>
                  <w:tcW w:w="3267" w:type="dxa"/>
                  <w:vAlign w:val="center"/>
                </w:tcPr>
                <w:p>
                  <w:pPr>
                    <w:jc w:val="center"/>
                    <w:rPr>
                      <w:rFonts w:ascii="宋体" w:hAnsi="宋体" w:cs="宋体"/>
                      <w:color w:val="000000"/>
                      <w:szCs w:val="21"/>
                    </w:rPr>
                  </w:pPr>
                  <w:r>
                    <w:rPr>
                      <w:rFonts w:hint="eastAsia" w:ascii="宋体" w:hAnsi="宋体" w:cs="宋体"/>
                      <w:color w:val="000000"/>
                      <w:szCs w:val="21"/>
                    </w:rPr>
                    <w:t xml:space="preserve">固定污染源废气 总烃、甲烷和非甲烷总烃的测定 气相色谱法 </w:t>
                  </w:r>
                </w:p>
              </w:tc>
              <w:tc>
                <w:tcPr>
                  <w:tcW w:w="2305" w:type="dxa"/>
                  <w:vAlign w:val="center"/>
                </w:tcPr>
                <w:p>
                  <w:pPr>
                    <w:spacing w:line="360" w:lineRule="auto"/>
                    <w:ind w:firstLine="420" w:firstLineChars="200"/>
                    <w:rPr>
                      <w:color w:val="000000"/>
                      <w:szCs w:val="21"/>
                    </w:rPr>
                  </w:pPr>
                  <w:r>
                    <w:rPr>
                      <w:rFonts w:hint="eastAsia"/>
                      <w:color w:val="000000"/>
                      <w:szCs w:val="21"/>
                    </w:rPr>
                    <w:t>HJ38-2017</w:t>
                  </w:r>
                </w:p>
              </w:tc>
              <w:tc>
                <w:tcPr>
                  <w:tcW w:w="1522" w:type="dxa"/>
                  <w:vAlign w:val="center"/>
                </w:tcPr>
                <w:p>
                  <w:pPr>
                    <w:spacing w:line="360" w:lineRule="auto"/>
                    <w:jc w:val="center"/>
                    <w:rPr>
                      <w:color w:val="000000"/>
                      <w:szCs w:val="21"/>
                    </w:rPr>
                  </w:pPr>
                  <w:r>
                    <w:rPr>
                      <w:rFonts w:hint="eastAsia"/>
                      <w:color w:val="000000"/>
                      <w:szCs w:val="21"/>
                    </w:rPr>
                    <w:t>0.07mg/m</w:t>
                  </w:r>
                  <w:r>
                    <w:rPr>
                      <w:rFonts w:hint="eastAsia"/>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pPr>
                    <w:jc w:val="center"/>
                    <w:rPr>
                      <w:rFonts w:ascii="宋体" w:hAnsi="宋体" w:cs="宋体"/>
                      <w:bCs/>
                      <w:szCs w:val="21"/>
                    </w:rPr>
                  </w:pPr>
                  <w:r>
                    <w:rPr>
                      <w:rFonts w:hint="eastAsia" w:ascii="宋体" w:hAnsi="宋体" w:cs="宋体"/>
                      <w:bCs/>
                      <w:szCs w:val="21"/>
                    </w:rPr>
                    <w:t>8</w:t>
                  </w:r>
                </w:p>
              </w:tc>
              <w:tc>
                <w:tcPr>
                  <w:tcW w:w="1559" w:type="dxa"/>
                  <w:vAlign w:val="center"/>
                </w:tcPr>
                <w:p>
                  <w:pPr>
                    <w:jc w:val="center"/>
                    <w:rPr>
                      <w:rFonts w:ascii="宋体" w:hAnsi="宋体" w:cs="宋体"/>
                      <w:bCs/>
                      <w:szCs w:val="21"/>
                    </w:rPr>
                  </w:pPr>
                  <w:r>
                    <w:rPr>
                      <w:rFonts w:hint="eastAsia" w:ascii="宋体" w:hAnsi="宋体" w:cs="宋体"/>
                      <w:bCs/>
                      <w:szCs w:val="21"/>
                    </w:rPr>
                    <w:t>噪声</w:t>
                  </w:r>
                </w:p>
              </w:tc>
              <w:tc>
                <w:tcPr>
                  <w:tcW w:w="3267" w:type="dxa"/>
                  <w:vAlign w:val="center"/>
                </w:tcPr>
                <w:p>
                  <w:pPr>
                    <w:jc w:val="center"/>
                    <w:rPr>
                      <w:rFonts w:ascii="宋体" w:hAnsi="宋体" w:cs="宋体"/>
                      <w:szCs w:val="21"/>
                    </w:rPr>
                  </w:pPr>
                  <w:r>
                    <w:rPr>
                      <w:rFonts w:hint="eastAsia" w:ascii="宋体" w:hAnsi="宋体" w:cs="宋体"/>
                      <w:color w:val="000000"/>
                      <w:szCs w:val="21"/>
                    </w:rPr>
                    <w:t>工业企业厂界环境噪声排放标准</w:t>
                  </w:r>
                </w:p>
              </w:tc>
              <w:tc>
                <w:tcPr>
                  <w:tcW w:w="2305" w:type="dxa"/>
                  <w:vAlign w:val="center"/>
                </w:tcPr>
                <w:p>
                  <w:pPr>
                    <w:jc w:val="center"/>
                    <w:rPr>
                      <w:rFonts w:ascii="宋体" w:hAnsi="宋体" w:cs="宋体"/>
                      <w:szCs w:val="21"/>
                    </w:rPr>
                  </w:pPr>
                  <w:r>
                    <w:rPr>
                      <w:rFonts w:hint="eastAsia"/>
                      <w:color w:val="000000"/>
                      <w:szCs w:val="21"/>
                    </w:rPr>
                    <w:t>GB12348-2008</w:t>
                  </w:r>
                </w:p>
              </w:tc>
              <w:tc>
                <w:tcPr>
                  <w:tcW w:w="1522" w:type="dxa"/>
                  <w:vAlign w:val="center"/>
                </w:tcPr>
                <w:p>
                  <w:pPr>
                    <w:jc w:val="center"/>
                    <w:rPr>
                      <w:rFonts w:ascii="宋体" w:hAnsi="宋体" w:cs="宋体"/>
                      <w:color w:val="000000"/>
                      <w:szCs w:val="21"/>
                    </w:rPr>
                  </w:pPr>
                  <w:r>
                    <w:rPr>
                      <w:rFonts w:hint="eastAsia" w:ascii="宋体" w:hAnsi="宋体" w:cs="宋体"/>
                      <w:color w:val="000000"/>
                      <w:szCs w:val="21"/>
                    </w:rPr>
                    <w:t>—</w:t>
                  </w:r>
                </w:p>
              </w:tc>
            </w:tr>
          </w:tbl>
          <w:p>
            <w:pPr>
              <w:pStyle w:val="4"/>
              <w:spacing w:before="156" w:beforeLines="50" w:after="0" w:line="360" w:lineRule="auto"/>
              <w:outlineLvl w:val="1"/>
              <w:rPr>
                <w:color w:val="000000"/>
                <w:sz w:val="24"/>
                <w:szCs w:val="24"/>
              </w:rPr>
            </w:pPr>
            <w:bookmarkStart w:id="7" w:name="_Toc4327"/>
            <w:bookmarkStart w:id="8" w:name="_Toc21408"/>
            <w:bookmarkStart w:id="9" w:name="_Toc7568"/>
            <w:r>
              <w:rPr>
                <w:color w:val="000000"/>
                <w:sz w:val="24"/>
                <w:szCs w:val="24"/>
              </w:rPr>
              <w:t>5.2人员能力</w:t>
            </w:r>
          </w:p>
          <w:p>
            <w:pPr>
              <w:spacing w:line="360" w:lineRule="auto"/>
              <w:rPr>
                <w:color w:val="000000"/>
              </w:rPr>
            </w:pPr>
            <w:r>
              <w:rPr>
                <w:color w:val="000000"/>
              </w:rPr>
              <w:t xml:space="preserve">  </w:t>
            </w:r>
            <w:r>
              <w:rPr>
                <w:color w:val="000000"/>
                <w:sz w:val="24"/>
              </w:rPr>
              <w:t xml:space="preserve">  参加本次验收监测和实验室分析人员均通过岗前培训，考核合格，持证上岗。</w:t>
            </w:r>
          </w:p>
          <w:p>
            <w:pPr>
              <w:pStyle w:val="4"/>
              <w:spacing w:before="0" w:after="0" w:line="360" w:lineRule="auto"/>
              <w:outlineLvl w:val="1"/>
              <w:rPr>
                <w:color w:val="000000"/>
                <w:sz w:val="24"/>
                <w:szCs w:val="24"/>
              </w:rPr>
            </w:pPr>
            <w:r>
              <w:rPr>
                <w:color w:val="000000"/>
                <w:sz w:val="24"/>
                <w:szCs w:val="24"/>
              </w:rPr>
              <w:t>5.3废气监测分析过程中质量保证和质量控制</w:t>
            </w:r>
            <w:bookmarkEnd w:id="7"/>
            <w:bookmarkEnd w:id="8"/>
            <w:bookmarkEnd w:id="9"/>
          </w:p>
          <w:p>
            <w:pPr>
              <w:spacing w:line="360" w:lineRule="auto"/>
              <w:ind w:firstLine="480" w:firstLineChars="200"/>
              <w:rPr>
                <w:color w:val="000000"/>
                <w:sz w:val="24"/>
              </w:rPr>
            </w:pPr>
            <w:r>
              <w:rPr>
                <w:color w:val="000000"/>
                <w:sz w:val="24"/>
              </w:rPr>
              <w:t>废气监测仪器均符合国家有关标准或技术要求，仪器经计量部门检定合格，并在检定有效期内使用，监测前对使用的仪器进行流量校准，按规定对废气测试仪进行现场检漏，</w:t>
            </w:r>
            <w:r>
              <w:rPr>
                <w:rFonts w:hint="eastAsia"/>
                <w:color w:val="000000"/>
                <w:sz w:val="24"/>
              </w:rPr>
              <w:t>采样和分析过程严格按照采样和分析过程严格按照《固定污染源排气中颗粒物测定与气态污染物采样方法》（GB/T 16157-1996）、《固定污染源监测质量保证与质量控制技术规范（试行）》（HJ/T 373-2007）、《固定源废气监测技术规范》（HJ/T 397-2007）、《大气污染物无组织排放监测技术导则》（HJ/T 55-2000）</w:t>
            </w:r>
            <w:r>
              <w:rPr>
                <w:color w:val="000000"/>
                <w:sz w:val="24"/>
              </w:rPr>
              <w:t>和《大气污染物综合排放标准》（</w:t>
            </w:r>
            <w:r>
              <w:rPr>
                <w:rFonts w:hint="eastAsia"/>
                <w:color w:val="000000"/>
                <w:sz w:val="24"/>
              </w:rPr>
              <w:t>DB31/933-2015</w:t>
            </w:r>
            <w:r>
              <w:rPr>
                <w:color w:val="000000"/>
                <w:sz w:val="24"/>
              </w:rPr>
              <w:t>）中附录C执行。</w:t>
            </w:r>
          </w:p>
          <w:p>
            <w:pPr>
              <w:pStyle w:val="4"/>
              <w:spacing w:before="0" w:after="0" w:line="360" w:lineRule="auto"/>
              <w:outlineLvl w:val="1"/>
              <w:rPr>
                <w:color w:val="000000"/>
                <w:sz w:val="24"/>
                <w:szCs w:val="24"/>
              </w:rPr>
            </w:pPr>
            <w:r>
              <w:rPr>
                <w:color w:val="000000"/>
                <w:sz w:val="24"/>
                <w:szCs w:val="24"/>
              </w:rPr>
              <w:t>5.4废水监测质量控制</w:t>
            </w:r>
          </w:p>
          <w:p>
            <w:pPr>
              <w:pStyle w:val="9"/>
              <w:spacing w:line="360" w:lineRule="auto"/>
              <w:ind w:firstLine="480" w:firstLineChars="200"/>
              <w:jc w:val="left"/>
              <w:rPr>
                <w:rFonts w:ascii="Times New Roman" w:hAnsi="Times New Roman"/>
                <w:color w:val="000000"/>
              </w:rPr>
            </w:pPr>
            <w:r>
              <w:rPr>
                <w:rFonts w:ascii="Times New Roman" w:hAnsi="Times New Roman"/>
                <w:color w:val="000000"/>
                <w:sz w:val="24"/>
              </w:rPr>
              <w:t>废水监测仪器符合国家有关标准或技术要求。采样、运输、保存、分析全过程严格按照《环境监测技术规范（水和废水部分）》和《环境水质监测质量保证手册（第二版）规定执行，实验室分析过程中采取全程空白、平行样、加标回收等质控措施。</w:t>
            </w:r>
          </w:p>
          <w:p>
            <w:pPr>
              <w:pStyle w:val="4"/>
              <w:spacing w:before="0" w:after="0" w:line="360" w:lineRule="auto"/>
              <w:outlineLvl w:val="1"/>
              <w:rPr>
                <w:color w:val="000000"/>
                <w:sz w:val="24"/>
                <w:szCs w:val="24"/>
              </w:rPr>
            </w:pPr>
            <w:bookmarkStart w:id="10" w:name="_Toc1423"/>
            <w:bookmarkStart w:id="11" w:name="_Toc5893"/>
            <w:bookmarkStart w:id="12" w:name="_Toc22388"/>
            <w:r>
              <w:rPr>
                <w:color w:val="000000"/>
                <w:sz w:val="24"/>
                <w:szCs w:val="24"/>
              </w:rPr>
              <w:t>5.5噪声监测质量控制</w:t>
            </w:r>
            <w:bookmarkEnd w:id="10"/>
            <w:bookmarkEnd w:id="11"/>
            <w:bookmarkEnd w:id="12"/>
          </w:p>
          <w:p>
            <w:pPr>
              <w:autoSpaceDE w:val="0"/>
              <w:autoSpaceDN w:val="0"/>
              <w:adjustRightInd w:val="0"/>
              <w:spacing w:line="360" w:lineRule="auto"/>
              <w:ind w:firstLine="480" w:firstLineChars="200"/>
              <w:rPr>
                <w:color w:val="000000"/>
                <w:sz w:val="24"/>
              </w:rPr>
            </w:pPr>
            <w:r>
              <w:rPr>
                <w:color w:val="000000"/>
                <w:sz w:val="24"/>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w:t>
            </w:r>
            <w:r>
              <w:rPr>
                <w:rFonts w:hint="eastAsia"/>
                <w:color w:val="000000"/>
                <w:sz w:val="24"/>
              </w:rPr>
              <w:t>（</w:t>
            </w:r>
            <w:r>
              <w:rPr>
                <w:color w:val="000000"/>
                <w:sz w:val="24"/>
              </w:rPr>
              <w:t>A</w:t>
            </w:r>
            <w:r>
              <w:rPr>
                <w:rFonts w:hint="eastAsia"/>
                <w:color w:val="000000"/>
                <w:sz w:val="24"/>
              </w:rPr>
              <w:t>）</w:t>
            </w:r>
            <w:r>
              <w:rPr>
                <w:color w:val="000000"/>
                <w:sz w:val="24"/>
              </w:rPr>
              <w:t>，若大于0.5dB</w:t>
            </w:r>
            <w:r>
              <w:rPr>
                <w:rFonts w:hint="eastAsia"/>
                <w:color w:val="000000"/>
                <w:sz w:val="24"/>
              </w:rPr>
              <w:t>（</w:t>
            </w:r>
            <w:r>
              <w:rPr>
                <w:color w:val="000000"/>
                <w:sz w:val="24"/>
              </w:rPr>
              <w:t>A</w:t>
            </w:r>
            <w:r>
              <w:rPr>
                <w:rFonts w:hint="eastAsia"/>
                <w:color w:val="000000"/>
                <w:sz w:val="24"/>
              </w:rPr>
              <w:t>）</w:t>
            </w:r>
            <w:r>
              <w:rPr>
                <w:color w:val="000000"/>
                <w:sz w:val="24"/>
              </w:rPr>
              <w:t>测试数据无效。</w:t>
            </w:r>
          </w:p>
          <w:p>
            <w:pPr>
              <w:jc w:val="center"/>
              <w:rPr>
                <w:b/>
                <w:color w:val="000000"/>
                <w:szCs w:val="21"/>
              </w:rPr>
            </w:pPr>
            <w:r>
              <w:rPr>
                <w:b/>
                <w:color w:val="000000"/>
                <w:szCs w:val="21"/>
              </w:rPr>
              <w:t>表5-5  声级计校核表</w:t>
            </w:r>
          </w:p>
          <w:tbl>
            <w:tblPr>
              <w:tblStyle w:val="23"/>
              <w:tblW w:w="918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189"/>
              <w:gridCol w:w="830"/>
              <w:gridCol w:w="1118"/>
              <w:gridCol w:w="1168"/>
              <w:gridCol w:w="1059"/>
              <w:gridCol w:w="837"/>
              <w:gridCol w:w="837"/>
              <w:gridCol w:w="8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tcBorders>
                    <w:tl2br w:val="nil"/>
                    <w:tr2bl w:val="nil"/>
                  </w:tcBorders>
                  <w:vAlign w:val="center"/>
                </w:tcPr>
                <w:p>
                  <w:pPr>
                    <w:jc w:val="center"/>
                    <w:rPr>
                      <w:color w:val="000000"/>
                      <w:szCs w:val="21"/>
                    </w:rPr>
                  </w:pPr>
                  <w:r>
                    <w:rPr>
                      <w:color w:val="000000"/>
                      <w:szCs w:val="21"/>
                    </w:rPr>
                    <w:t>仪器名称</w:t>
                  </w:r>
                </w:p>
              </w:tc>
              <w:tc>
                <w:tcPr>
                  <w:tcW w:w="1243" w:type="dxa"/>
                  <w:tcBorders>
                    <w:tl2br w:val="nil"/>
                    <w:tr2bl w:val="nil"/>
                  </w:tcBorders>
                  <w:vAlign w:val="center"/>
                </w:tcPr>
                <w:p>
                  <w:pPr>
                    <w:jc w:val="center"/>
                    <w:rPr>
                      <w:color w:val="000000"/>
                      <w:szCs w:val="21"/>
                    </w:rPr>
                  </w:pPr>
                  <w:r>
                    <w:rPr>
                      <w:color w:val="000000"/>
                      <w:szCs w:val="21"/>
                    </w:rPr>
                    <w:t>仪器型号</w:t>
                  </w:r>
                </w:p>
              </w:tc>
              <w:tc>
                <w:tcPr>
                  <w:tcW w:w="863" w:type="dxa"/>
                  <w:tcBorders>
                    <w:tl2br w:val="nil"/>
                    <w:tr2bl w:val="nil"/>
                  </w:tcBorders>
                  <w:vAlign w:val="center"/>
                </w:tcPr>
                <w:p>
                  <w:pPr>
                    <w:jc w:val="center"/>
                    <w:rPr>
                      <w:color w:val="000000"/>
                      <w:szCs w:val="21"/>
                    </w:rPr>
                  </w:pPr>
                  <w:r>
                    <w:rPr>
                      <w:color w:val="000000"/>
                      <w:szCs w:val="21"/>
                    </w:rPr>
                    <w:t>单位</w:t>
                  </w:r>
                </w:p>
              </w:tc>
              <w:tc>
                <w:tcPr>
                  <w:tcW w:w="1168" w:type="dxa"/>
                  <w:tcBorders>
                    <w:tl2br w:val="nil"/>
                    <w:tr2bl w:val="nil"/>
                  </w:tcBorders>
                  <w:vAlign w:val="center"/>
                </w:tcPr>
                <w:p>
                  <w:pPr>
                    <w:jc w:val="center"/>
                    <w:rPr>
                      <w:color w:val="000000"/>
                      <w:szCs w:val="21"/>
                    </w:rPr>
                  </w:pPr>
                  <w:r>
                    <w:rPr>
                      <w:color w:val="000000"/>
                      <w:szCs w:val="21"/>
                    </w:rPr>
                    <w:t>标准值</w:t>
                  </w:r>
                </w:p>
              </w:tc>
              <w:tc>
                <w:tcPr>
                  <w:tcW w:w="2325" w:type="dxa"/>
                  <w:gridSpan w:val="2"/>
                  <w:tcBorders>
                    <w:tl2br w:val="nil"/>
                    <w:tr2bl w:val="nil"/>
                  </w:tcBorders>
                  <w:vAlign w:val="center"/>
                </w:tcPr>
                <w:p>
                  <w:pPr>
                    <w:jc w:val="center"/>
                    <w:rPr>
                      <w:color w:val="000000"/>
                      <w:szCs w:val="21"/>
                    </w:rPr>
                  </w:pPr>
                  <w:r>
                    <w:rPr>
                      <w:color w:val="000000"/>
                      <w:szCs w:val="21"/>
                    </w:rPr>
                    <w:t>校准日期</w:t>
                  </w:r>
                </w:p>
              </w:tc>
              <w:tc>
                <w:tcPr>
                  <w:tcW w:w="871" w:type="dxa"/>
                  <w:tcBorders>
                    <w:tl2br w:val="nil"/>
                    <w:tr2bl w:val="nil"/>
                  </w:tcBorders>
                  <w:vAlign w:val="center"/>
                </w:tcPr>
                <w:p>
                  <w:pPr>
                    <w:jc w:val="center"/>
                    <w:rPr>
                      <w:color w:val="000000"/>
                      <w:szCs w:val="21"/>
                    </w:rPr>
                  </w:pPr>
                  <w:r>
                    <w:rPr>
                      <w:color w:val="000000"/>
                      <w:szCs w:val="21"/>
                    </w:rPr>
                    <w:t>仪器</w:t>
                  </w:r>
                </w:p>
                <w:p>
                  <w:pPr>
                    <w:jc w:val="center"/>
                    <w:rPr>
                      <w:color w:val="000000"/>
                      <w:szCs w:val="21"/>
                    </w:rPr>
                  </w:pPr>
                  <w:r>
                    <w:rPr>
                      <w:color w:val="000000"/>
                      <w:szCs w:val="21"/>
                    </w:rPr>
                    <w:t>显示</w:t>
                  </w:r>
                </w:p>
              </w:tc>
              <w:tc>
                <w:tcPr>
                  <w:tcW w:w="871" w:type="dxa"/>
                  <w:tcBorders>
                    <w:tl2br w:val="nil"/>
                    <w:tr2bl w:val="nil"/>
                  </w:tcBorders>
                  <w:vAlign w:val="center"/>
                </w:tcPr>
                <w:p>
                  <w:pPr>
                    <w:jc w:val="center"/>
                    <w:rPr>
                      <w:color w:val="000000"/>
                      <w:szCs w:val="21"/>
                    </w:rPr>
                  </w:pPr>
                  <w:r>
                    <w:rPr>
                      <w:color w:val="000000"/>
                      <w:szCs w:val="21"/>
                    </w:rPr>
                    <w:t>示值</w:t>
                  </w:r>
                </w:p>
                <w:p>
                  <w:pPr>
                    <w:jc w:val="center"/>
                    <w:rPr>
                      <w:color w:val="000000"/>
                      <w:szCs w:val="21"/>
                    </w:rPr>
                  </w:pPr>
                  <w:r>
                    <w:rPr>
                      <w:color w:val="000000"/>
                      <w:szCs w:val="21"/>
                    </w:rPr>
                    <w:t>误差</w:t>
                  </w:r>
                </w:p>
              </w:tc>
              <w:tc>
                <w:tcPr>
                  <w:tcW w:w="871" w:type="dxa"/>
                  <w:tcBorders>
                    <w:tl2br w:val="nil"/>
                    <w:tr2bl w:val="nil"/>
                  </w:tcBorders>
                  <w:vAlign w:val="center"/>
                </w:tcPr>
                <w:p>
                  <w:pPr>
                    <w:jc w:val="center"/>
                    <w:rPr>
                      <w:color w:val="000000"/>
                      <w:szCs w:val="21"/>
                    </w:rPr>
                  </w:pPr>
                  <w:r>
                    <w:rPr>
                      <w:color w:val="000000"/>
                      <w:szCs w:val="21"/>
                    </w:rPr>
                    <w:t>是否</w:t>
                  </w:r>
                </w:p>
                <w:p>
                  <w:pPr>
                    <w:jc w:val="center"/>
                    <w:rPr>
                      <w:color w:val="000000"/>
                      <w:szCs w:val="21"/>
                    </w:rPr>
                  </w:pPr>
                  <w:r>
                    <w:rPr>
                      <w:color w:val="000000"/>
                      <w:szCs w:val="21"/>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restart"/>
                  <w:tcBorders>
                    <w:tl2br w:val="nil"/>
                    <w:tr2bl w:val="nil"/>
                  </w:tcBorders>
                  <w:vAlign w:val="center"/>
                </w:tcPr>
                <w:p>
                  <w:pPr>
                    <w:jc w:val="center"/>
                    <w:rPr>
                      <w:color w:val="000000"/>
                      <w:szCs w:val="21"/>
                    </w:rPr>
                  </w:pPr>
                  <w:r>
                    <w:rPr>
                      <w:color w:val="000000"/>
                      <w:szCs w:val="21"/>
                    </w:rPr>
                    <w:t>声级计</w:t>
                  </w:r>
                </w:p>
              </w:tc>
              <w:tc>
                <w:tcPr>
                  <w:tcW w:w="1243" w:type="dxa"/>
                  <w:vMerge w:val="restart"/>
                  <w:tcBorders>
                    <w:tl2br w:val="nil"/>
                    <w:tr2bl w:val="nil"/>
                  </w:tcBorders>
                  <w:vAlign w:val="center"/>
                </w:tcPr>
                <w:p>
                  <w:pPr>
                    <w:jc w:val="center"/>
                    <w:rPr>
                      <w:color w:val="000000"/>
                      <w:szCs w:val="21"/>
                    </w:rPr>
                  </w:pPr>
                  <w:r>
                    <w:rPr>
                      <w:color w:val="000000"/>
                      <w:szCs w:val="21"/>
                    </w:rPr>
                    <w:t>AWA5636</w:t>
                  </w:r>
                </w:p>
              </w:tc>
              <w:tc>
                <w:tcPr>
                  <w:tcW w:w="863" w:type="dxa"/>
                  <w:vMerge w:val="restart"/>
                  <w:tcBorders>
                    <w:tl2br w:val="nil"/>
                    <w:tr2bl w:val="nil"/>
                  </w:tcBorders>
                  <w:vAlign w:val="center"/>
                </w:tcPr>
                <w:p>
                  <w:pPr>
                    <w:jc w:val="center"/>
                    <w:rPr>
                      <w:color w:val="000000"/>
                      <w:szCs w:val="21"/>
                    </w:rPr>
                  </w:pPr>
                  <w:r>
                    <w:rPr>
                      <w:color w:val="000000"/>
                      <w:szCs w:val="21"/>
                    </w:rPr>
                    <w:t>dB（A）</w:t>
                  </w:r>
                </w:p>
              </w:tc>
              <w:tc>
                <w:tcPr>
                  <w:tcW w:w="1168" w:type="dxa"/>
                  <w:vMerge w:val="restart"/>
                  <w:tcBorders>
                    <w:tl2br w:val="nil"/>
                    <w:tr2bl w:val="nil"/>
                  </w:tcBorders>
                  <w:vAlign w:val="center"/>
                </w:tcPr>
                <w:p>
                  <w:pPr>
                    <w:jc w:val="center"/>
                    <w:rPr>
                      <w:color w:val="000000"/>
                      <w:szCs w:val="21"/>
                    </w:rPr>
                  </w:pPr>
                  <w:r>
                    <w:rPr>
                      <w:color w:val="000000"/>
                      <w:szCs w:val="21"/>
                    </w:rPr>
                    <w:t>93.8（标准声源）</w:t>
                  </w:r>
                </w:p>
              </w:tc>
              <w:tc>
                <w:tcPr>
                  <w:tcW w:w="1220" w:type="dxa"/>
                  <w:vMerge w:val="restart"/>
                  <w:tcBorders>
                    <w:tl2br w:val="nil"/>
                    <w:tr2bl w:val="nil"/>
                  </w:tcBorders>
                  <w:vAlign w:val="center"/>
                </w:tcPr>
                <w:p>
                  <w:pPr>
                    <w:jc w:val="center"/>
                    <w:rPr>
                      <w:szCs w:val="21"/>
                    </w:rPr>
                  </w:pPr>
                  <w:r>
                    <w:rPr>
                      <w:szCs w:val="21"/>
                    </w:rPr>
                    <w:t>20</w:t>
                  </w:r>
                  <w:r>
                    <w:rPr>
                      <w:rFonts w:hint="eastAsia"/>
                      <w:szCs w:val="21"/>
                    </w:rPr>
                    <w:t>22</w:t>
                  </w:r>
                  <w:r>
                    <w:rPr>
                      <w:szCs w:val="21"/>
                    </w:rPr>
                    <w:t>年</w:t>
                  </w:r>
                </w:p>
                <w:p>
                  <w:pPr>
                    <w:jc w:val="center"/>
                    <w:rPr>
                      <w:szCs w:val="21"/>
                    </w:rPr>
                  </w:pPr>
                  <w:r>
                    <w:rPr>
                      <w:rFonts w:hint="eastAsia"/>
                      <w:szCs w:val="21"/>
                    </w:rPr>
                    <w:t>2</w:t>
                  </w:r>
                  <w:r>
                    <w:rPr>
                      <w:szCs w:val="21"/>
                    </w:rPr>
                    <w:t>月</w:t>
                  </w:r>
                  <w:r>
                    <w:rPr>
                      <w:rFonts w:hint="eastAsia"/>
                      <w:szCs w:val="21"/>
                      <w:lang w:val="en-US" w:eastAsia="zh-CN"/>
                    </w:rPr>
                    <w:t>9</w:t>
                  </w:r>
                  <w:r>
                    <w:rPr>
                      <w:szCs w:val="21"/>
                    </w:rPr>
                    <w:t>日</w:t>
                  </w:r>
                </w:p>
              </w:tc>
              <w:tc>
                <w:tcPr>
                  <w:tcW w:w="1105" w:type="dxa"/>
                  <w:tcBorders>
                    <w:tl2br w:val="nil"/>
                    <w:tr2bl w:val="nil"/>
                  </w:tcBorders>
                  <w:vAlign w:val="center"/>
                </w:tcPr>
                <w:p>
                  <w:pPr>
                    <w:jc w:val="center"/>
                    <w:rPr>
                      <w:color w:val="000000"/>
                      <w:szCs w:val="21"/>
                    </w:rPr>
                  </w:pPr>
                  <w:r>
                    <w:rPr>
                      <w:color w:val="000000"/>
                      <w:szCs w:val="21"/>
                    </w:rPr>
                    <w:t>测量前</w:t>
                  </w:r>
                </w:p>
              </w:tc>
              <w:tc>
                <w:tcPr>
                  <w:tcW w:w="871" w:type="dxa"/>
                  <w:tcBorders>
                    <w:tl2br w:val="nil"/>
                    <w:tr2bl w:val="nil"/>
                  </w:tcBorders>
                  <w:vAlign w:val="center"/>
                </w:tcPr>
                <w:p>
                  <w:pPr>
                    <w:jc w:val="center"/>
                    <w:rPr>
                      <w:color w:val="000000"/>
                      <w:szCs w:val="21"/>
                    </w:rPr>
                  </w:pPr>
                  <w:r>
                    <w:rPr>
                      <w:color w:val="000000"/>
                      <w:szCs w:val="21"/>
                    </w:rPr>
                    <w:t>93.8</w:t>
                  </w:r>
                </w:p>
              </w:tc>
              <w:tc>
                <w:tcPr>
                  <w:tcW w:w="871" w:type="dxa"/>
                  <w:tcBorders>
                    <w:tl2br w:val="nil"/>
                    <w:tr2bl w:val="nil"/>
                  </w:tcBorders>
                  <w:vAlign w:val="center"/>
                </w:tcPr>
                <w:p>
                  <w:pPr>
                    <w:jc w:val="center"/>
                    <w:rPr>
                      <w:color w:val="000000"/>
                      <w:szCs w:val="21"/>
                    </w:rPr>
                  </w:pPr>
                  <w:r>
                    <w:rPr>
                      <w:color w:val="000000"/>
                      <w:szCs w:val="21"/>
                    </w:rPr>
                    <w:t>0</w:t>
                  </w:r>
                </w:p>
              </w:tc>
              <w:tc>
                <w:tcPr>
                  <w:tcW w:w="871" w:type="dxa"/>
                  <w:tcBorders>
                    <w:tl2br w:val="nil"/>
                    <w:tr2bl w:val="nil"/>
                  </w:tcBorders>
                  <w:vAlign w:val="center"/>
                </w:tcPr>
                <w:p>
                  <w:pPr>
                    <w:jc w:val="center"/>
                    <w:rPr>
                      <w:color w:val="000000"/>
                      <w:szCs w:val="21"/>
                    </w:rPr>
                  </w:pPr>
                  <w:r>
                    <w:rPr>
                      <w:color w:val="000000"/>
                      <w:szCs w:val="21"/>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vAlign w:val="center"/>
                </w:tcPr>
                <w:p>
                  <w:pPr>
                    <w:jc w:val="center"/>
                    <w:rPr>
                      <w:color w:val="000000"/>
                      <w:szCs w:val="21"/>
                    </w:rPr>
                  </w:pPr>
                </w:p>
              </w:tc>
              <w:tc>
                <w:tcPr>
                  <w:tcW w:w="1243" w:type="dxa"/>
                  <w:vMerge w:val="continue"/>
                  <w:tcBorders>
                    <w:tl2br w:val="nil"/>
                    <w:tr2bl w:val="nil"/>
                  </w:tcBorders>
                  <w:vAlign w:val="center"/>
                </w:tcPr>
                <w:p>
                  <w:pPr>
                    <w:jc w:val="center"/>
                    <w:rPr>
                      <w:color w:val="000000"/>
                      <w:szCs w:val="21"/>
                    </w:rPr>
                  </w:pPr>
                </w:p>
              </w:tc>
              <w:tc>
                <w:tcPr>
                  <w:tcW w:w="863" w:type="dxa"/>
                  <w:vMerge w:val="continue"/>
                  <w:tcBorders>
                    <w:tl2br w:val="nil"/>
                    <w:tr2bl w:val="nil"/>
                  </w:tcBorders>
                  <w:vAlign w:val="center"/>
                </w:tcPr>
                <w:p>
                  <w:pPr>
                    <w:jc w:val="center"/>
                    <w:rPr>
                      <w:color w:val="000000"/>
                      <w:szCs w:val="21"/>
                    </w:rPr>
                  </w:pPr>
                </w:p>
              </w:tc>
              <w:tc>
                <w:tcPr>
                  <w:tcW w:w="1168" w:type="dxa"/>
                  <w:vMerge w:val="continue"/>
                  <w:tcBorders>
                    <w:tl2br w:val="nil"/>
                    <w:tr2bl w:val="nil"/>
                  </w:tcBorders>
                  <w:vAlign w:val="center"/>
                </w:tcPr>
                <w:p>
                  <w:pPr>
                    <w:jc w:val="center"/>
                    <w:rPr>
                      <w:color w:val="000000"/>
                      <w:szCs w:val="21"/>
                    </w:rPr>
                  </w:pPr>
                </w:p>
              </w:tc>
              <w:tc>
                <w:tcPr>
                  <w:tcW w:w="1220" w:type="dxa"/>
                  <w:vMerge w:val="continue"/>
                  <w:tcBorders>
                    <w:tl2br w:val="nil"/>
                    <w:tr2bl w:val="nil"/>
                  </w:tcBorders>
                  <w:vAlign w:val="center"/>
                </w:tcPr>
                <w:p>
                  <w:pPr>
                    <w:jc w:val="center"/>
                    <w:rPr>
                      <w:szCs w:val="21"/>
                    </w:rPr>
                  </w:pPr>
                </w:p>
              </w:tc>
              <w:tc>
                <w:tcPr>
                  <w:tcW w:w="1105" w:type="dxa"/>
                  <w:tcBorders>
                    <w:tl2br w:val="nil"/>
                    <w:tr2bl w:val="nil"/>
                  </w:tcBorders>
                  <w:vAlign w:val="center"/>
                </w:tcPr>
                <w:p>
                  <w:pPr>
                    <w:jc w:val="center"/>
                    <w:rPr>
                      <w:color w:val="000000"/>
                      <w:szCs w:val="21"/>
                    </w:rPr>
                  </w:pPr>
                  <w:r>
                    <w:rPr>
                      <w:color w:val="000000"/>
                      <w:szCs w:val="21"/>
                    </w:rPr>
                    <w:t>测量后</w:t>
                  </w:r>
                </w:p>
              </w:tc>
              <w:tc>
                <w:tcPr>
                  <w:tcW w:w="871" w:type="dxa"/>
                  <w:tcBorders>
                    <w:tl2br w:val="nil"/>
                    <w:tr2bl w:val="nil"/>
                  </w:tcBorders>
                  <w:vAlign w:val="center"/>
                </w:tcPr>
                <w:p>
                  <w:pPr>
                    <w:jc w:val="center"/>
                    <w:rPr>
                      <w:color w:val="000000"/>
                      <w:szCs w:val="21"/>
                    </w:rPr>
                  </w:pPr>
                  <w:r>
                    <w:rPr>
                      <w:color w:val="000000"/>
                      <w:szCs w:val="21"/>
                    </w:rPr>
                    <w:t>93.9</w:t>
                  </w:r>
                </w:p>
              </w:tc>
              <w:tc>
                <w:tcPr>
                  <w:tcW w:w="871" w:type="dxa"/>
                  <w:tcBorders>
                    <w:tl2br w:val="nil"/>
                    <w:tr2bl w:val="nil"/>
                  </w:tcBorders>
                  <w:vAlign w:val="center"/>
                </w:tcPr>
                <w:p>
                  <w:pPr>
                    <w:jc w:val="center"/>
                    <w:rPr>
                      <w:color w:val="000000"/>
                      <w:szCs w:val="21"/>
                    </w:rPr>
                  </w:pPr>
                  <w:r>
                    <w:rPr>
                      <w:color w:val="000000"/>
                      <w:szCs w:val="21"/>
                    </w:rPr>
                    <w:t>0.1</w:t>
                  </w:r>
                </w:p>
              </w:tc>
              <w:tc>
                <w:tcPr>
                  <w:tcW w:w="871" w:type="dxa"/>
                  <w:tcBorders>
                    <w:tl2br w:val="nil"/>
                    <w:tr2bl w:val="nil"/>
                  </w:tcBorders>
                  <w:vAlign w:val="center"/>
                </w:tcPr>
                <w:p>
                  <w:pPr>
                    <w:jc w:val="center"/>
                    <w:rPr>
                      <w:color w:val="000000"/>
                      <w:szCs w:val="21"/>
                    </w:rPr>
                  </w:pPr>
                  <w:r>
                    <w:rPr>
                      <w:color w:val="000000"/>
                      <w:szCs w:val="21"/>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vAlign w:val="center"/>
                </w:tcPr>
                <w:p>
                  <w:pPr>
                    <w:jc w:val="center"/>
                    <w:rPr>
                      <w:color w:val="000000"/>
                      <w:szCs w:val="21"/>
                    </w:rPr>
                  </w:pPr>
                </w:p>
              </w:tc>
              <w:tc>
                <w:tcPr>
                  <w:tcW w:w="1243" w:type="dxa"/>
                  <w:vMerge w:val="continue"/>
                  <w:tcBorders>
                    <w:tl2br w:val="nil"/>
                    <w:tr2bl w:val="nil"/>
                  </w:tcBorders>
                  <w:vAlign w:val="center"/>
                </w:tcPr>
                <w:p>
                  <w:pPr>
                    <w:jc w:val="center"/>
                    <w:rPr>
                      <w:color w:val="000000"/>
                      <w:szCs w:val="21"/>
                    </w:rPr>
                  </w:pPr>
                </w:p>
              </w:tc>
              <w:tc>
                <w:tcPr>
                  <w:tcW w:w="863" w:type="dxa"/>
                  <w:vMerge w:val="continue"/>
                  <w:tcBorders>
                    <w:tl2br w:val="nil"/>
                    <w:tr2bl w:val="nil"/>
                  </w:tcBorders>
                  <w:vAlign w:val="center"/>
                </w:tcPr>
                <w:p>
                  <w:pPr>
                    <w:jc w:val="center"/>
                    <w:rPr>
                      <w:color w:val="000000"/>
                      <w:szCs w:val="21"/>
                    </w:rPr>
                  </w:pPr>
                </w:p>
              </w:tc>
              <w:tc>
                <w:tcPr>
                  <w:tcW w:w="1168" w:type="dxa"/>
                  <w:vMerge w:val="continue"/>
                  <w:tcBorders>
                    <w:tl2br w:val="nil"/>
                    <w:tr2bl w:val="nil"/>
                  </w:tcBorders>
                  <w:vAlign w:val="center"/>
                </w:tcPr>
                <w:p>
                  <w:pPr>
                    <w:jc w:val="center"/>
                    <w:rPr>
                      <w:color w:val="000000"/>
                      <w:szCs w:val="21"/>
                    </w:rPr>
                  </w:pPr>
                </w:p>
              </w:tc>
              <w:tc>
                <w:tcPr>
                  <w:tcW w:w="1220" w:type="dxa"/>
                  <w:vMerge w:val="restart"/>
                  <w:tcBorders>
                    <w:tl2br w:val="nil"/>
                    <w:tr2bl w:val="nil"/>
                  </w:tcBorders>
                  <w:vAlign w:val="center"/>
                </w:tcPr>
                <w:p>
                  <w:pPr>
                    <w:jc w:val="center"/>
                    <w:rPr>
                      <w:szCs w:val="21"/>
                    </w:rPr>
                  </w:pPr>
                  <w:r>
                    <w:rPr>
                      <w:szCs w:val="21"/>
                    </w:rPr>
                    <w:t>20</w:t>
                  </w:r>
                  <w:r>
                    <w:rPr>
                      <w:rFonts w:hint="eastAsia"/>
                      <w:szCs w:val="21"/>
                    </w:rPr>
                    <w:t>22</w:t>
                  </w:r>
                  <w:r>
                    <w:rPr>
                      <w:szCs w:val="21"/>
                    </w:rPr>
                    <w:t>年</w:t>
                  </w:r>
                </w:p>
                <w:p>
                  <w:pPr>
                    <w:jc w:val="center"/>
                    <w:rPr>
                      <w:szCs w:val="21"/>
                    </w:rPr>
                  </w:pPr>
                  <w:r>
                    <w:rPr>
                      <w:rFonts w:hint="eastAsia"/>
                      <w:szCs w:val="21"/>
                    </w:rPr>
                    <w:t>2</w:t>
                  </w:r>
                  <w:r>
                    <w:rPr>
                      <w:szCs w:val="21"/>
                    </w:rPr>
                    <w:t>月</w:t>
                  </w:r>
                  <w:r>
                    <w:rPr>
                      <w:rFonts w:hint="eastAsia"/>
                      <w:szCs w:val="21"/>
                      <w:lang w:val="en-US" w:eastAsia="zh-CN"/>
                    </w:rPr>
                    <w:t>10</w:t>
                  </w:r>
                  <w:r>
                    <w:rPr>
                      <w:szCs w:val="21"/>
                    </w:rPr>
                    <w:t>日</w:t>
                  </w:r>
                </w:p>
              </w:tc>
              <w:tc>
                <w:tcPr>
                  <w:tcW w:w="1105" w:type="dxa"/>
                  <w:tcBorders>
                    <w:tl2br w:val="nil"/>
                    <w:tr2bl w:val="nil"/>
                  </w:tcBorders>
                  <w:vAlign w:val="center"/>
                </w:tcPr>
                <w:p>
                  <w:pPr>
                    <w:jc w:val="center"/>
                    <w:rPr>
                      <w:color w:val="000000"/>
                      <w:szCs w:val="21"/>
                    </w:rPr>
                  </w:pPr>
                  <w:r>
                    <w:rPr>
                      <w:color w:val="000000"/>
                      <w:szCs w:val="21"/>
                    </w:rPr>
                    <w:t>测量前</w:t>
                  </w:r>
                </w:p>
              </w:tc>
              <w:tc>
                <w:tcPr>
                  <w:tcW w:w="871" w:type="dxa"/>
                  <w:tcBorders>
                    <w:tl2br w:val="nil"/>
                    <w:tr2bl w:val="nil"/>
                  </w:tcBorders>
                  <w:vAlign w:val="center"/>
                </w:tcPr>
                <w:p>
                  <w:pPr>
                    <w:jc w:val="center"/>
                    <w:rPr>
                      <w:szCs w:val="21"/>
                    </w:rPr>
                  </w:pPr>
                  <w:r>
                    <w:rPr>
                      <w:szCs w:val="21"/>
                    </w:rPr>
                    <w:t>93.8</w:t>
                  </w:r>
                </w:p>
              </w:tc>
              <w:tc>
                <w:tcPr>
                  <w:tcW w:w="871" w:type="dxa"/>
                  <w:tcBorders>
                    <w:tl2br w:val="nil"/>
                    <w:tr2bl w:val="nil"/>
                  </w:tcBorders>
                  <w:vAlign w:val="center"/>
                </w:tcPr>
                <w:p>
                  <w:pPr>
                    <w:jc w:val="center"/>
                    <w:rPr>
                      <w:szCs w:val="21"/>
                    </w:rPr>
                  </w:pPr>
                  <w:r>
                    <w:rPr>
                      <w:rFonts w:hint="eastAsia"/>
                      <w:szCs w:val="21"/>
                    </w:rPr>
                    <w:t>0</w:t>
                  </w:r>
                </w:p>
              </w:tc>
              <w:tc>
                <w:tcPr>
                  <w:tcW w:w="871" w:type="dxa"/>
                  <w:tcBorders>
                    <w:tl2br w:val="nil"/>
                    <w:tr2bl w:val="nil"/>
                  </w:tcBorders>
                  <w:vAlign w:val="center"/>
                </w:tcPr>
                <w:p>
                  <w:pPr>
                    <w:jc w:val="center"/>
                    <w:rPr>
                      <w:color w:val="000000"/>
                      <w:szCs w:val="21"/>
                    </w:rPr>
                  </w:pPr>
                  <w:r>
                    <w:rPr>
                      <w:color w:val="000000"/>
                      <w:szCs w:val="21"/>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369" w:type="dxa"/>
                  <w:vMerge w:val="continue"/>
                  <w:tcBorders>
                    <w:tl2br w:val="nil"/>
                    <w:tr2bl w:val="nil"/>
                  </w:tcBorders>
                  <w:vAlign w:val="center"/>
                </w:tcPr>
                <w:p>
                  <w:pPr>
                    <w:jc w:val="center"/>
                    <w:rPr>
                      <w:color w:val="000000"/>
                      <w:szCs w:val="21"/>
                    </w:rPr>
                  </w:pPr>
                </w:p>
              </w:tc>
              <w:tc>
                <w:tcPr>
                  <w:tcW w:w="1243" w:type="dxa"/>
                  <w:vMerge w:val="continue"/>
                  <w:tcBorders>
                    <w:tl2br w:val="nil"/>
                    <w:tr2bl w:val="nil"/>
                  </w:tcBorders>
                  <w:vAlign w:val="center"/>
                </w:tcPr>
                <w:p>
                  <w:pPr>
                    <w:jc w:val="center"/>
                    <w:rPr>
                      <w:color w:val="000000"/>
                      <w:szCs w:val="21"/>
                    </w:rPr>
                  </w:pPr>
                </w:p>
              </w:tc>
              <w:tc>
                <w:tcPr>
                  <w:tcW w:w="863" w:type="dxa"/>
                  <w:vMerge w:val="continue"/>
                  <w:tcBorders>
                    <w:tl2br w:val="nil"/>
                    <w:tr2bl w:val="nil"/>
                  </w:tcBorders>
                  <w:vAlign w:val="center"/>
                </w:tcPr>
                <w:p>
                  <w:pPr>
                    <w:jc w:val="center"/>
                    <w:rPr>
                      <w:color w:val="000000"/>
                      <w:szCs w:val="21"/>
                    </w:rPr>
                  </w:pPr>
                </w:p>
              </w:tc>
              <w:tc>
                <w:tcPr>
                  <w:tcW w:w="1168" w:type="dxa"/>
                  <w:vMerge w:val="continue"/>
                  <w:tcBorders>
                    <w:tl2br w:val="nil"/>
                    <w:tr2bl w:val="nil"/>
                  </w:tcBorders>
                  <w:vAlign w:val="center"/>
                </w:tcPr>
                <w:p>
                  <w:pPr>
                    <w:jc w:val="center"/>
                    <w:rPr>
                      <w:color w:val="000000"/>
                      <w:szCs w:val="21"/>
                    </w:rPr>
                  </w:pPr>
                </w:p>
              </w:tc>
              <w:tc>
                <w:tcPr>
                  <w:tcW w:w="1220" w:type="dxa"/>
                  <w:vMerge w:val="continue"/>
                  <w:tcBorders>
                    <w:tl2br w:val="nil"/>
                    <w:tr2bl w:val="nil"/>
                  </w:tcBorders>
                  <w:vAlign w:val="center"/>
                </w:tcPr>
                <w:p>
                  <w:pPr>
                    <w:jc w:val="center"/>
                    <w:rPr>
                      <w:color w:val="000000"/>
                      <w:szCs w:val="21"/>
                    </w:rPr>
                  </w:pPr>
                </w:p>
              </w:tc>
              <w:tc>
                <w:tcPr>
                  <w:tcW w:w="1105" w:type="dxa"/>
                  <w:tcBorders>
                    <w:tl2br w:val="nil"/>
                    <w:tr2bl w:val="nil"/>
                  </w:tcBorders>
                  <w:vAlign w:val="center"/>
                </w:tcPr>
                <w:p>
                  <w:pPr>
                    <w:jc w:val="center"/>
                    <w:rPr>
                      <w:color w:val="000000"/>
                      <w:szCs w:val="21"/>
                    </w:rPr>
                  </w:pPr>
                  <w:r>
                    <w:rPr>
                      <w:color w:val="000000"/>
                      <w:szCs w:val="21"/>
                    </w:rPr>
                    <w:t>测量后</w:t>
                  </w:r>
                </w:p>
              </w:tc>
              <w:tc>
                <w:tcPr>
                  <w:tcW w:w="871" w:type="dxa"/>
                  <w:tcBorders>
                    <w:tl2br w:val="nil"/>
                    <w:tr2bl w:val="nil"/>
                  </w:tcBorders>
                  <w:vAlign w:val="center"/>
                </w:tcPr>
                <w:p>
                  <w:pPr>
                    <w:jc w:val="center"/>
                    <w:rPr>
                      <w:color w:val="000000"/>
                      <w:szCs w:val="21"/>
                    </w:rPr>
                  </w:pPr>
                  <w:r>
                    <w:rPr>
                      <w:color w:val="000000"/>
                      <w:szCs w:val="21"/>
                    </w:rPr>
                    <w:t>93.8</w:t>
                  </w:r>
                </w:p>
              </w:tc>
              <w:tc>
                <w:tcPr>
                  <w:tcW w:w="871" w:type="dxa"/>
                  <w:tcBorders>
                    <w:tl2br w:val="nil"/>
                    <w:tr2bl w:val="nil"/>
                  </w:tcBorders>
                  <w:vAlign w:val="center"/>
                </w:tcPr>
                <w:p>
                  <w:pPr>
                    <w:jc w:val="center"/>
                    <w:rPr>
                      <w:color w:val="000000"/>
                      <w:szCs w:val="21"/>
                    </w:rPr>
                  </w:pPr>
                  <w:r>
                    <w:rPr>
                      <w:color w:val="000000"/>
                      <w:szCs w:val="21"/>
                    </w:rPr>
                    <w:t>0</w:t>
                  </w:r>
                </w:p>
              </w:tc>
              <w:tc>
                <w:tcPr>
                  <w:tcW w:w="871" w:type="dxa"/>
                  <w:tcBorders>
                    <w:tl2br w:val="nil"/>
                    <w:tr2bl w:val="nil"/>
                  </w:tcBorders>
                  <w:vAlign w:val="center"/>
                </w:tcPr>
                <w:p>
                  <w:pPr>
                    <w:jc w:val="center"/>
                    <w:rPr>
                      <w:color w:val="000000"/>
                      <w:szCs w:val="21"/>
                    </w:rPr>
                  </w:pPr>
                  <w:r>
                    <w:rPr>
                      <w:color w:val="000000"/>
                      <w:szCs w:val="21"/>
                    </w:rPr>
                    <w:t>合格</w:t>
                  </w:r>
                </w:p>
              </w:tc>
            </w:tr>
          </w:tbl>
          <w:p>
            <w:pPr>
              <w:spacing w:line="360" w:lineRule="auto"/>
              <w:ind w:firstLine="422" w:firstLineChars="200"/>
              <w:rPr>
                <w:b/>
                <w:bCs/>
                <w:color w:val="000000"/>
              </w:rPr>
            </w:pPr>
          </w:p>
          <w:p>
            <w:pPr>
              <w:spacing w:line="360" w:lineRule="auto"/>
              <w:ind w:firstLine="422" w:firstLineChars="200"/>
              <w:rPr>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pStyle w:val="33"/>
              <w:ind w:firstLine="0" w:firstLineChars="0"/>
              <w:rPr>
                <w:rFonts w:cs="Times New Roman"/>
                <w:b/>
                <w:bCs/>
                <w:color w:val="000000"/>
              </w:rPr>
            </w:pPr>
          </w:p>
          <w:p>
            <w:pPr>
              <w:spacing w:line="360" w:lineRule="auto"/>
              <w:rPr>
                <w:b/>
                <w:bCs/>
                <w:color w:val="000000"/>
              </w:rPr>
            </w:pPr>
          </w:p>
        </w:tc>
      </w:tr>
    </w:tbl>
    <w:p>
      <w:pPr>
        <w:rPr>
          <w:b/>
          <w:bCs/>
          <w:sz w:val="32"/>
          <w:szCs w:val="32"/>
        </w:rPr>
      </w:pPr>
      <w:r>
        <w:rPr>
          <w:b/>
          <w:bCs/>
          <w:sz w:val="32"/>
          <w:szCs w:val="32"/>
        </w:rPr>
        <w:br w:type="page"/>
      </w:r>
    </w:p>
    <w:p>
      <w:pPr>
        <w:rPr>
          <w:b/>
          <w:bCs/>
          <w:color w:val="FF0000"/>
          <w:sz w:val="32"/>
          <w:szCs w:val="32"/>
        </w:rPr>
      </w:pPr>
      <w:r>
        <w:rPr>
          <w:b/>
          <w:bCs/>
          <w:sz w:val="32"/>
          <w:szCs w:val="32"/>
        </w:rPr>
        <w:t>表</w:t>
      </w:r>
      <w:r>
        <w:rPr>
          <w:rFonts w:hint="eastAsia"/>
          <w:b/>
          <w:bCs/>
          <w:sz w:val="32"/>
          <w:szCs w:val="32"/>
        </w:rPr>
        <w:t>六</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tcPr>
          <w:p>
            <w:pPr>
              <w:spacing w:line="360" w:lineRule="auto"/>
              <w:jc w:val="left"/>
              <w:rPr>
                <w:b/>
                <w:color w:val="FF0000"/>
                <w:sz w:val="28"/>
                <w:szCs w:val="28"/>
              </w:rPr>
            </w:pPr>
            <w:r>
              <w:rPr>
                <w:rFonts w:hint="eastAsia"/>
                <w:b/>
                <w:sz w:val="28"/>
                <w:szCs w:val="28"/>
              </w:rPr>
              <w:t>6.1验收监测内容</w:t>
            </w:r>
          </w:p>
          <w:p>
            <w:pPr>
              <w:spacing w:line="360" w:lineRule="auto"/>
              <w:ind w:firstLine="480" w:firstLineChars="200"/>
              <w:rPr>
                <w:bCs/>
                <w:sz w:val="24"/>
              </w:rPr>
            </w:pPr>
            <w:r>
              <w:rPr>
                <w:bCs/>
                <w:sz w:val="24"/>
              </w:rPr>
              <w:t>依据环评文本及批复，结合现场勘查结果，确定验收监测内容。</w:t>
            </w:r>
          </w:p>
          <w:p>
            <w:pPr>
              <w:spacing w:line="360" w:lineRule="auto"/>
              <w:ind w:firstLine="482" w:firstLineChars="200"/>
              <w:rPr>
                <w:b/>
                <w:sz w:val="24"/>
              </w:rPr>
            </w:pPr>
            <w:r>
              <w:rPr>
                <w:b/>
                <w:sz w:val="24"/>
              </w:rPr>
              <w:t>1、有组织废气</w:t>
            </w:r>
          </w:p>
          <w:p>
            <w:pPr>
              <w:spacing w:line="360" w:lineRule="auto"/>
              <w:ind w:firstLine="480" w:firstLineChars="200"/>
              <w:jc w:val="left"/>
              <w:rPr>
                <w:sz w:val="24"/>
              </w:rPr>
            </w:pPr>
            <w:r>
              <w:rPr>
                <w:sz w:val="24"/>
              </w:rPr>
              <w:t>（1）监测点位：排气筒</w:t>
            </w:r>
            <w:r>
              <w:rPr>
                <w:rFonts w:hint="eastAsia"/>
                <w:sz w:val="24"/>
              </w:rPr>
              <w:t>进口、</w:t>
            </w:r>
            <w:r>
              <w:rPr>
                <w:sz w:val="24"/>
              </w:rPr>
              <w:t>出口</w:t>
            </w:r>
            <w:r>
              <w:rPr>
                <w:rFonts w:hint="eastAsia"/>
                <w:sz w:val="24"/>
              </w:rPr>
              <w:t>各</w:t>
            </w:r>
            <w:r>
              <w:rPr>
                <w:sz w:val="24"/>
              </w:rPr>
              <w:t>设一个监测点位；</w:t>
            </w:r>
          </w:p>
          <w:p>
            <w:pPr>
              <w:spacing w:line="360" w:lineRule="auto"/>
              <w:ind w:firstLine="480" w:firstLineChars="200"/>
              <w:jc w:val="left"/>
              <w:rPr>
                <w:sz w:val="24"/>
              </w:rPr>
            </w:pPr>
            <w:r>
              <w:rPr>
                <w:sz w:val="24"/>
              </w:rPr>
              <w:t>（2）监测项目</w:t>
            </w:r>
            <w:r>
              <w:rPr>
                <w:rFonts w:hint="eastAsia"/>
                <w:sz w:val="24"/>
              </w:rPr>
              <w:t>：非甲烷总烃</w:t>
            </w:r>
            <w:r>
              <w:rPr>
                <w:sz w:val="24"/>
              </w:rPr>
              <w:t>；</w:t>
            </w:r>
          </w:p>
          <w:p>
            <w:pPr>
              <w:spacing w:line="360" w:lineRule="auto"/>
              <w:ind w:firstLine="480" w:firstLineChars="200"/>
              <w:jc w:val="left"/>
              <w:rPr>
                <w:sz w:val="24"/>
              </w:rPr>
            </w:pPr>
            <w:r>
              <w:rPr>
                <w:sz w:val="24"/>
              </w:rPr>
              <w:t>（3）监测频次：监测</w:t>
            </w:r>
            <w:r>
              <w:rPr>
                <w:rFonts w:hint="eastAsia"/>
                <w:sz w:val="24"/>
              </w:rPr>
              <w:t>1</w:t>
            </w:r>
            <w:r>
              <w:rPr>
                <w:sz w:val="24"/>
              </w:rPr>
              <w:t>次/天，监测2天。</w:t>
            </w:r>
          </w:p>
          <w:p>
            <w:pPr>
              <w:spacing w:line="360" w:lineRule="auto"/>
              <w:ind w:firstLine="422" w:firstLineChars="200"/>
              <w:jc w:val="center"/>
              <w:rPr>
                <w:b/>
                <w:bCs/>
                <w:szCs w:val="21"/>
              </w:rPr>
            </w:pPr>
            <w:r>
              <w:rPr>
                <w:b/>
                <w:bCs/>
                <w:szCs w:val="21"/>
              </w:rPr>
              <w:t>表6-1  有组织废气监测点位、项目、频次</w:t>
            </w:r>
          </w:p>
          <w:tbl>
            <w:tblPr>
              <w:tblStyle w:val="23"/>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190"/>
              <w:gridCol w:w="1309"/>
              <w:gridCol w:w="1395"/>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1803" w:type="dxa"/>
                  <w:vAlign w:val="center"/>
                </w:tcPr>
                <w:p>
                  <w:pPr>
                    <w:spacing w:line="240" w:lineRule="exact"/>
                    <w:jc w:val="center"/>
                    <w:rPr>
                      <w:szCs w:val="21"/>
                    </w:rPr>
                  </w:pPr>
                  <w:r>
                    <w:rPr>
                      <w:rFonts w:hint="eastAsia"/>
                      <w:szCs w:val="21"/>
                    </w:rPr>
                    <w:t>污染源</w:t>
                  </w:r>
                </w:p>
              </w:tc>
              <w:tc>
                <w:tcPr>
                  <w:tcW w:w="2190" w:type="dxa"/>
                  <w:vAlign w:val="center"/>
                </w:tcPr>
                <w:p>
                  <w:pPr>
                    <w:spacing w:line="240" w:lineRule="exact"/>
                    <w:jc w:val="center"/>
                    <w:rPr>
                      <w:szCs w:val="21"/>
                    </w:rPr>
                  </w:pPr>
                  <w:r>
                    <w:rPr>
                      <w:szCs w:val="21"/>
                    </w:rPr>
                    <w:t>监测点位</w:t>
                  </w:r>
                </w:p>
              </w:tc>
              <w:tc>
                <w:tcPr>
                  <w:tcW w:w="1309" w:type="dxa"/>
                  <w:vAlign w:val="center"/>
                </w:tcPr>
                <w:p>
                  <w:pPr>
                    <w:spacing w:line="240" w:lineRule="exact"/>
                    <w:jc w:val="center"/>
                    <w:rPr>
                      <w:szCs w:val="21"/>
                    </w:rPr>
                  </w:pPr>
                  <w:r>
                    <w:rPr>
                      <w:szCs w:val="21"/>
                    </w:rPr>
                    <w:t>监测项目</w:t>
                  </w:r>
                </w:p>
              </w:tc>
              <w:tc>
                <w:tcPr>
                  <w:tcW w:w="1395" w:type="dxa"/>
                  <w:vAlign w:val="center"/>
                </w:tcPr>
                <w:p>
                  <w:pPr>
                    <w:spacing w:line="240" w:lineRule="exact"/>
                    <w:jc w:val="center"/>
                    <w:rPr>
                      <w:szCs w:val="21"/>
                    </w:rPr>
                  </w:pPr>
                  <w:r>
                    <w:rPr>
                      <w:szCs w:val="21"/>
                    </w:rPr>
                    <w:t>监测频次</w:t>
                  </w:r>
                </w:p>
              </w:tc>
              <w:tc>
                <w:tcPr>
                  <w:tcW w:w="2540" w:type="dxa"/>
                  <w:vAlign w:val="center"/>
                </w:tcPr>
                <w:p>
                  <w:pPr>
                    <w:spacing w:line="2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03" w:type="dxa"/>
                  <w:vAlign w:val="center"/>
                </w:tcPr>
                <w:p>
                  <w:pPr>
                    <w:spacing w:line="240" w:lineRule="exact"/>
                    <w:jc w:val="center"/>
                    <w:rPr>
                      <w:szCs w:val="21"/>
                    </w:rPr>
                  </w:pPr>
                  <w:r>
                    <w:rPr>
                      <w:rFonts w:hint="eastAsia"/>
                      <w:szCs w:val="21"/>
                    </w:rPr>
                    <w:t>高压釜处理废气、上胶、上密封胶工序</w:t>
                  </w:r>
                </w:p>
              </w:tc>
              <w:tc>
                <w:tcPr>
                  <w:tcW w:w="2190" w:type="dxa"/>
                  <w:vAlign w:val="center"/>
                </w:tcPr>
                <w:p>
                  <w:pPr>
                    <w:spacing w:line="240" w:lineRule="exact"/>
                    <w:jc w:val="center"/>
                    <w:rPr>
                      <w:szCs w:val="21"/>
                    </w:rPr>
                  </w:pPr>
                  <w:r>
                    <w:rPr>
                      <w:rFonts w:hint="eastAsia"/>
                      <w:szCs w:val="21"/>
                    </w:rPr>
                    <w:t>排气筒进、出口（1#）（有组织）</w:t>
                  </w:r>
                </w:p>
              </w:tc>
              <w:tc>
                <w:tcPr>
                  <w:tcW w:w="1309" w:type="dxa"/>
                  <w:vAlign w:val="center"/>
                </w:tcPr>
                <w:p>
                  <w:pPr>
                    <w:spacing w:line="240" w:lineRule="exact"/>
                    <w:jc w:val="center"/>
                    <w:rPr>
                      <w:szCs w:val="21"/>
                    </w:rPr>
                  </w:pPr>
                  <w:r>
                    <w:rPr>
                      <w:rFonts w:hint="eastAsia"/>
                      <w:szCs w:val="21"/>
                    </w:rPr>
                    <w:t>非甲烷总烃</w:t>
                  </w:r>
                </w:p>
              </w:tc>
              <w:tc>
                <w:tcPr>
                  <w:tcW w:w="1395" w:type="dxa"/>
                  <w:vAlign w:val="center"/>
                </w:tcPr>
                <w:p>
                  <w:pPr>
                    <w:spacing w:line="240" w:lineRule="exact"/>
                    <w:jc w:val="center"/>
                    <w:rPr>
                      <w:szCs w:val="21"/>
                    </w:rPr>
                  </w:pPr>
                  <w:r>
                    <w:rPr>
                      <w:rFonts w:hint="eastAsia"/>
                      <w:szCs w:val="21"/>
                    </w:rPr>
                    <w:t>3</w:t>
                  </w:r>
                  <w:r>
                    <w:rPr>
                      <w:szCs w:val="21"/>
                    </w:rPr>
                    <w:t>次/天，2天</w:t>
                  </w:r>
                </w:p>
              </w:tc>
              <w:tc>
                <w:tcPr>
                  <w:tcW w:w="2540" w:type="dxa"/>
                  <w:vAlign w:val="center"/>
                </w:tcPr>
                <w:p>
                  <w:pPr>
                    <w:spacing w:line="240" w:lineRule="exact"/>
                    <w:jc w:val="center"/>
                    <w:rPr>
                      <w:szCs w:val="21"/>
                    </w:rPr>
                  </w:pPr>
                  <w:r>
                    <w:rPr>
                      <w:rFonts w:hint="eastAsia"/>
                      <w:szCs w:val="21"/>
                    </w:rPr>
                    <w:t>监测浓度、速率、标干流量；排气筒内径，同步监测大气气象参数；按建设项目竣工环保验收监测规范执行</w:t>
                  </w:r>
                </w:p>
              </w:tc>
            </w:tr>
          </w:tbl>
          <w:p>
            <w:pPr>
              <w:spacing w:line="360" w:lineRule="auto"/>
              <w:ind w:firstLine="482" w:firstLineChars="200"/>
              <w:jc w:val="left"/>
              <w:rPr>
                <w:b/>
                <w:bCs/>
                <w:color w:val="000000"/>
                <w:sz w:val="24"/>
              </w:rPr>
            </w:pPr>
            <w:bookmarkStart w:id="13" w:name="_Toc8206"/>
            <w:r>
              <w:rPr>
                <w:b/>
                <w:bCs/>
                <w:color w:val="000000"/>
                <w:sz w:val="24"/>
              </w:rPr>
              <w:t>2、无组织废气</w:t>
            </w:r>
          </w:p>
          <w:p>
            <w:pPr>
              <w:spacing w:line="360" w:lineRule="auto"/>
              <w:ind w:firstLine="480" w:firstLineChars="200"/>
              <w:jc w:val="left"/>
              <w:rPr>
                <w:sz w:val="24"/>
              </w:rPr>
            </w:pPr>
            <w:r>
              <w:rPr>
                <w:sz w:val="24"/>
              </w:rPr>
              <w:t>（1）监测点位：</w:t>
            </w:r>
            <w:r>
              <w:rPr>
                <w:rFonts w:hint="eastAsia"/>
                <w:sz w:val="24"/>
              </w:rPr>
              <w:t>厂界四周、车间门口外1m</w:t>
            </w:r>
            <w:r>
              <w:rPr>
                <w:sz w:val="24"/>
              </w:rPr>
              <w:t>；</w:t>
            </w:r>
          </w:p>
          <w:p>
            <w:pPr>
              <w:spacing w:line="360" w:lineRule="auto"/>
              <w:ind w:firstLine="480" w:firstLineChars="200"/>
              <w:jc w:val="left"/>
              <w:rPr>
                <w:sz w:val="24"/>
              </w:rPr>
            </w:pPr>
            <w:r>
              <w:rPr>
                <w:sz w:val="24"/>
              </w:rPr>
              <w:t>（2）监测项目：</w:t>
            </w:r>
            <w:r>
              <w:rPr>
                <w:rFonts w:hint="eastAsia"/>
                <w:sz w:val="24"/>
              </w:rPr>
              <w:t>非甲烷总烃</w:t>
            </w:r>
            <w:r>
              <w:rPr>
                <w:sz w:val="24"/>
              </w:rPr>
              <w:t>；</w:t>
            </w:r>
          </w:p>
          <w:p>
            <w:pPr>
              <w:spacing w:line="360" w:lineRule="auto"/>
              <w:ind w:firstLine="480" w:firstLineChars="200"/>
              <w:jc w:val="left"/>
              <w:rPr>
                <w:color w:val="000000"/>
              </w:rPr>
            </w:pPr>
            <w:r>
              <w:rPr>
                <w:color w:val="000000"/>
                <w:sz w:val="24"/>
              </w:rPr>
              <w:t>（3）监测频次：监测</w:t>
            </w:r>
            <w:r>
              <w:rPr>
                <w:rFonts w:hint="eastAsia"/>
                <w:color w:val="000000"/>
                <w:sz w:val="24"/>
              </w:rPr>
              <w:t>3</w:t>
            </w:r>
            <w:r>
              <w:rPr>
                <w:color w:val="000000"/>
                <w:sz w:val="24"/>
              </w:rPr>
              <w:t>次/天，监测2天。</w:t>
            </w:r>
          </w:p>
          <w:p>
            <w:pPr>
              <w:spacing w:line="360" w:lineRule="auto"/>
              <w:ind w:firstLine="422" w:firstLineChars="200"/>
              <w:jc w:val="center"/>
            </w:pPr>
            <w:r>
              <w:rPr>
                <w:b/>
                <w:bCs/>
                <w:color w:val="000000"/>
                <w:szCs w:val="21"/>
              </w:rPr>
              <w:t>表6-2  无组织废气监测点位、项目、频次</w:t>
            </w:r>
          </w:p>
          <w:tbl>
            <w:tblPr>
              <w:tblStyle w:val="23"/>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381"/>
              <w:gridCol w:w="1375"/>
              <w:gridCol w:w="1524"/>
              <w:gridCol w:w="21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80" w:type="dxa"/>
                  <w:tcBorders>
                    <w:tl2br w:val="nil"/>
                    <w:tr2bl w:val="nil"/>
                  </w:tcBorders>
                  <w:vAlign w:val="center"/>
                </w:tcPr>
                <w:p>
                  <w:pPr>
                    <w:jc w:val="center"/>
                    <w:rPr>
                      <w:b/>
                      <w:bCs/>
                      <w:color w:val="000000"/>
                      <w:szCs w:val="21"/>
                    </w:rPr>
                  </w:pPr>
                  <w:r>
                    <w:rPr>
                      <w:b/>
                      <w:bCs/>
                      <w:color w:val="000000"/>
                      <w:szCs w:val="21"/>
                    </w:rPr>
                    <w:t>污染源</w:t>
                  </w:r>
                </w:p>
              </w:tc>
              <w:tc>
                <w:tcPr>
                  <w:tcW w:w="2381" w:type="dxa"/>
                  <w:tcBorders>
                    <w:tl2br w:val="nil"/>
                    <w:tr2bl w:val="nil"/>
                  </w:tcBorders>
                  <w:vAlign w:val="center"/>
                </w:tcPr>
                <w:p>
                  <w:pPr>
                    <w:jc w:val="center"/>
                    <w:rPr>
                      <w:b/>
                      <w:bCs/>
                      <w:color w:val="000000"/>
                      <w:szCs w:val="21"/>
                    </w:rPr>
                  </w:pPr>
                  <w:r>
                    <w:rPr>
                      <w:b/>
                      <w:bCs/>
                      <w:color w:val="000000"/>
                      <w:szCs w:val="21"/>
                    </w:rPr>
                    <w:t>监测点位</w:t>
                  </w:r>
                </w:p>
              </w:tc>
              <w:tc>
                <w:tcPr>
                  <w:tcW w:w="1375" w:type="dxa"/>
                  <w:tcBorders>
                    <w:tl2br w:val="nil"/>
                    <w:tr2bl w:val="nil"/>
                  </w:tcBorders>
                  <w:vAlign w:val="center"/>
                </w:tcPr>
                <w:p>
                  <w:pPr>
                    <w:jc w:val="center"/>
                    <w:rPr>
                      <w:b/>
                      <w:bCs/>
                      <w:color w:val="000000"/>
                      <w:szCs w:val="21"/>
                    </w:rPr>
                  </w:pPr>
                  <w:r>
                    <w:rPr>
                      <w:b/>
                      <w:bCs/>
                      <w:color w:val="000000"/>
                      <w:szCs w:val="21"/>
                    </w:rPr>
                    <w:t>监测项目</w:t>
                  </w:r>
                </w:p>
              </w:tc>
              <w:tc>
                <w:tcPr>
                  <w:tcW w:w="1524" w:type="dxa"/>
                  <w:tcBorders>
                    <w:tl2br w:val="nil"/>
                    <w:tr2bl w:val="nil"/>
                  </w:tcBorders>
                  <w:vAlign w:val="center"/>
                </w:tcPr>
                <w:p>
                  <w:pPr>
                    <w:jc w:val="center"/>
                    <w:rPr>
                      <w:b/>
                      <w:bCs/>
                      <w:color w:val="000000"/>
                      <w:szCs w:val="21"/>
                    </w:rPr>
                  </w:pPr>
                  <w:r>
                    <w:rPr>
                      <w:b/>
                      <w:bCs/>
                      <w:color w:val="000000"/>
                      <w:szCs w:val="21"/>
                    </w:rPr>
                    <w:t>监测频次</w:t>
                  </w:r>
                </w:p>
              </w:tc>
              <w:tc>
                <w:tcPr>
                  <w:tcW w:w="2194" w:type="dxa"/>
                  <w:tcBorders>
                    <w:tl2br w:val="nil"/>
                    <w:tr2bl w:val="nil"/>
                  </w:tcBorders>
                  <w:vAlign w:val="center"/>
                </w:tcPr>
                <w:p>
                  <w:pPr>
                    <w:jc w:val="center"/>
                    <w:rPr>
                      <w:b/>
                      <w:bCs/>
                      <w:color w:val="000000"/>
                      <w:szCs w:val="21"/>
                    </w:rPr>
                  </w:pPr>
                  <w:r>
                    <w:rPr>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80" w:type="dxa"/>
                  <w:vMerge w:val="restart"/>
                  <w:tcBorders>
                    <w:tl2br w:val="nil"/>
                    <w:tr2bl w:val="nil"/>
                  </w:tcBorders>
                  <w:vAlign w:val="center"/>
                </w:tcPr>
                <w:p>
                  <w:pPr>
                    <w:spacing w:line="240" w:lineRule="exact"/>
                    <w:jc w:val="center"/>
                    <w:rPr>
                      <w:snapToGrid w:val="0"/>
                      <w:color w:val="000000"/>
                      <w:kern w:val="0"/>
                      <w:szCs w:val="21"/>
                    </w:rPr>
                  </w:pPr>
                  <w:r>
                    <w:rPr>
                      <w:rFonts w:hint="eastAsia"/>
                      <w:snapToGrid w:val="0"/>
                      <w:kern w:val="0"/>
                      <w:szCs w:val="21"/>
                    </w:rPr>
                    <w:t>无组织</w:t>
                  </w:r>
                </w:p>
              </w:tc>
              <w:tc>
                <w:tcPr>
                  <w:tcW w:w="2381" w:type="dxa"/>
                  <w:tcBorders>
                    <w:tl2br w:val="nil"/>
                    <w:tr2bl w:val="nil"/>
                  </w:tcBorders>
                  <w:vAlign w:val="center"/>
                </w:tcPr>
                <w:p>
                  <w:pPr>
                    <w:spacing w:line="240" w:lineRule="exact"/>
                    <w:jc w:val="center"/>
                    <w:rPr>
                      <w:rFonts w:ascii="宋体" w:hAnsi="宋体" w:cs="宋体"/>
                      <w:szCs w:val="21"/>
                    </w:rPr>
                  </w:pPr>
                  <w:r>
                    <w:rPr>
                      <w:rFonts w:hint="eastAsia"/>
                      <w:szCs w:val="21"/>
                    </w:rPr>
                    <w:t>车间门口外1m处</w:t>
                  </w:r>
                </w:p>
              </w:tc>
              <w:tc>
                <w:tcPr>
                  <w:tcW w:w="1375" w:type="dxa"/>
                  <w:vMerge w:val="restart"/>
                  <w:tcBorders>
                    <w:tl2br w:val="nil"/>
                    <w:tr2bl w:val="nil"/>
                  </w:tcBorders>
                  <w:vAlign w:val="center"/>
                </w:tcPr>
                <w:p>
                  <w:pPr>
                    <w:spacing w:line="240" w:lineRule="exact"/>
                    <w:jc w:val="center"/>
                    <w:rPr>
                      <w:szCs w:val="21"/>
                    </w:rPr>
                  </w:pPr>
                  <w:r>
                    <w:rPr>
                      <w:rFonts w:hint="eastAsia"/>
                      <w:szCs w:val="21"/>
                    </w:rPr>
                    <w:t>非甲烷总烃</w:t>
                  </w:r>
                </w:p>
              </w:tc>
              <w:tc>
                <w:tcPr>
                  <w:tcW w:w="1524" w:type="dxa"/>
                  <w:vMerge w:val="restart"/>
                  <w:tcBorders>
                    <w:tl2br w:val="nil"/>
                    <w:tr2bl w:val="nil"/>
                  </w:tcBorders>
                  <w:vAlign w:val="center"/>
                </w:tcPr>
                <w:p>
                  <w:pPr>
                    <w:spacing w:line="240" w:lineRule="exact"/>
                    <w:jc w:val="center"/>
                    <w:rPr>
                      <w:szCs w:val="21"/>
                    </w:rPr>
                  </w:pPr>
                  <w:r>
                    <w:rPr>
                      <w:rFonts w:hint="eastAsia"/>
                      <w:szCs w:val="21"/>
                    </w:rPr>
                    <w:t>3</w:t>
                  </w:r>
                  <w:r>
                    <w:rPr>
                      <w:szCs w:val="21"/>
                    </w:rPr>
                    <w:t>次/天，2天</w:t>
                  </w:r>
                </w:p>
              </w:tc>
              <w:tc>
                <w:tcPr>
                  <w:tcW w:w="2194" w:type="dxa"/>
                  <w:vMerge w:val="restart"/>
                  <w:tcBorders>
                    <w:tl2br w:val="nil"/>
                    <w:tr2bl w:val="nil"/>
                  </w:tcBorders>
                  <w:vAlign w:val="center"/>
                </w:tcPr>
                <w:p>
                  <w:pPr>
                    <w:spacing w:line="240" w:lineRule="exact"/>
                    <w:jc w:val="center"/>
                    <w:rPr>
                      <w:szCs w:val="21"/>
                    </w:rPr>
                  </w:pPr>
                  <w:r>
                    <w:rPr>
                      <w:rFonts w:hint="eastAsia"/>
                      <w:szCs w:val="21"/>
                    </w:rPr>
                    <w:t>监测浓度、速率、标干流量；排气筒内径，同步监测大气气象参数；按建设项目竣工环保验收监测规范执行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80" w:type="dxa"/>
                  <w:vMerge w:val="continue"/>
                  <w:tcBorders>
                    <w:tl2br w:val="nil"/>
                    <w:tr2bl w:val="nil"/>
                  </w:tcBorders>
                  <w:vAlign w:val="center"/>
                </w:tcPr>
                <w:p>
                  <w:pPr>
                    <w:spacing w:line="240" w:lineRule="exact"/>
                    <w:jc w:val="center"/>
                    <w:rPr>
                      <w:snapToGrid w:val="0"/>
                      <w:kern w:val="0"/>
                      <w:szCs w:val="21"/>
                    </w:rPr>
                  </w:pPr>
                </w:p>
              </w:tc>
              <w:tc>
                <w:tcPr>
                  <w:tcW w:w="2381" w:type="dxa"/>
                  <w:tcBorders>
                    <w:tl2br w:val="nil"/>
                    <w:tr2bl w:val="nil"/>
                  </w:tcBorders>
                  <w:vAlign w:val="center"/>
                </w:tcPr>
                <w:p>
                  <w:pPr>
                    <w:spacing w:line="240" w:lineRule="exact"/>
                    <w:jc w:val="center"/>
                    <w:rPr>
                      <w:rFonts w:ascii="宋体" w:hAnsi="宋体" w:cs="宋体"/>
                      <w:szCs w:val="21"/>
                    </w:rPr>
                  </w:pPr>
                  <w:r>
                    <w:rPr>
                      <w:rFonts w:hint="eastAsia"/>
                      <w:szCs w:val="21"/>
                    </w:rPr>
                    <w:t>厂界上风向（一个点）</w:t>
                  </w:r>
                </w:p>
              </w:tc>
              <w:tc>
                <w:tcPr>
                  <w:tcW w:w="1375" w:type="dxa"/>
                  <w:vMerge w:val="continue"/>
                  <w:tcBorders>
                    <w:tl2br w:val="nil"/>
                    <w:tr2bl w:val="nil"/>
                  </w:tcBorders>
                  <w:vAlign w:val="center"/>
                </w:tcPr>
                <w:p>
                  <w:pPr>
                    <w:spacing w:line="240" w:lineRule="exact"/>
                    <w:jc w:val="center"/>
                    <w:rPr>
                      <w:szCs w:val="21"/>
                    </w:rPr>
                  </w:pPr>
                </w:p>
              </w:tc>
              <w:tc>
                <w:tcPr>
                  <w:tcW w:w="1524" w:type="dxa"/>
                  <w:vMerge w:val="continue"/>
                  <w:tcBorders>
                    <w:tl2br w:val="nil"/>
                    <w:tr2bl w:val="nil"/>
                  </w:tcBorders>
                  <w:vAlign w:val="center"/>
                </w:tcPr>
                <w:p>
                  <w:pPr>
                    <w:spacing w:line="240" w:lineRule="exact"/>
                    <w:jc w:val="center"/>
                    <w:rPr>
                      <w:szCs w:val="21"/>
                    </w:rPr>
                  </w:pPr>
                </w:p>
              </w:tc>
              <w:tc>
                <w:tcPr>
                  <w:tcW w:w="2194" w:type="dxa"/>
                  <w:vMerge w:val="continue"/>
                  <w:tcBorders>
                    <w:tl2br w:val="nil"/>
                    <w:tr2bl w:val="nil"/>
                  </w:tcBorders>
                  <w:vAlign w:val="center"/>
                </w:tcPr>
                <w:p>
                  <w:pPr>
                    <w:spacing w:line="240" w:lineRule="exact"/>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80" w:type="dxa"/>
                  <w:vMerge w:val="continue"/>
                  <w:tcBorders>
                    <w:tl2br w:val="nil"/>
                    <w:tr2bl w:val="nil"/>
                  </w:tcBorders>
                  <w:vAlign w:val="center"/>
                </w:tcPr>
                <w:p>
                  <w:pPr>
                    <w:spacing w:line="240" w:lineRule="exact"/>
                    <w:jc w:val="center"/>
                    <w:rPr>
                      <w:snapToGrid w:val="0"/>
                      <w:color w:val="000000"/>
                      <w:kern w:val="0"/>
                      <w:szCs w:val="21"/>
                    </w:rPr>
                  </w:pPr>
                </w:p>
              </w:tc>
              <w:tc>
                <w:tcPr>
                  <w:tcW w:w="2381" w:type="dxa"/>
                  <w:tcBorders>
                    <w:tl2br w:val="nil"/>
                    <w:tr2bl w:val="nil"/>
                  </w:tcBorders>
                  <w:vAlign w:val="center"/>
                </w:tcPr>
                <w:p>
                  <w:pPr>
                    <w:spacing w:line="240" w:lineRule="exact"/>
                    <w:jc w:val="center"/>
                    <w:rPr>
                      <w:szCs w:val="21"/>
                    </w:rPr>
                  </w:pPr>
                  <w:r>
                    <w:rPr>
                      <w:rFonts w:hint="eastAsia"/>
                      <w:szCs w:val="21"/>
                    </w:rPr>
                    <w:t>厂界下风向（三个点）</w:t>
                  </w:r>
                </w:p>
              </w:tc>
              <w:tc>
                <w:tcPr>
                  <w:tcW w:w="1375" w:type="dxa"/>
                  <w:vMerge w:val="continue"/>
                  <w:tcBorders>
                    <w:tl2br w:val="nil"/>
                    <w:tr2bl w:val="nil"/>
                  </w:tcBorders>
                  <w:vAlign w:val="center"/>
                </w:tcPr>
                <w:p>
                  <w:pPr>
                    <w:spacing w:line="240" w:lineRule="exact"/>
                    <w:jc w:val="center"/>
                    <w:rPr>
                      <w:rFonts w:eastAsiaTheme="minorEastAsia"/>
                      <w:szCs w:val="21"/>
                    </w:rPr>
                  </w:pPr>
                </w:p>
              </w:tc>
              <w:tc>
                <w:tcPr>
                  <w:tcW w:w="1524" w:type="dxa"/>
                  <w:vMerge w:val="continue"/>
                  <w:tcBorders>
                    <w:tl2br w:val="nil"/>
                    <w:tr2bl w:val="nil"/>
                  </w:tcBorders>
                  <w:vAlign w:val="center"/>
                </w:tcPr>
                <w:p>
                  <w:pPr>
                    <w:spacing w:line="240" w:lineRule="exact"/>
                    <w:jc w:val="center"/>
                    <w:rPr>
                      <w:color w:val="000000"/>
                      <w:szCs w:val="21"/>
                    </w:rPr>
                  </w:pPr>
                </w:p>
              </w:tc>
              <w:tc>
                <w:tcPr>
                  <w:tcW w:w="2194" w:type="dxa"/>
                  <w:vMerge w:val="continue"/>
                  <w:tcBorders>
                    <w:tl2br w:val="nil"/>
                    <w:tr2bl w:val="nil"/>
                  </w:tcBorders>
                  <w:vAlign w:val="center"/>
                </w:tcPr>
                <w:p>
                  <w:pPr>
                    <w:spacing w:line="240" w:lineRule="exact"/>
                    <w:jc w:val="center"/>
                    <w:rPr>
                      <w:color w:val="000000"/>
                      <w:szCs w:val="21"/>
                    </w:rPr>
                  </w:pPr>
                </w:p>
              </w:tc>
            </w:tr>
          </w:tbl>
          <w:p>
            <w:pPr>
              <w:spacing w:line="360" w:lineRule="auto"/>
              <w:ind w:firstLine="482" w:firstLineChars="200"/>
              <w:rPr>
                <w:b/>
                <w:color w:val="000000"/>
                <w:sz w:val="24"/>
              </w:rPr>
            </w:pPr>
            <w:r>
              <w:rPr>
                <w:rFonts w:hint="eastAsia"/>
                <w:b/>
                <w:color w:val="000000"/>
                <w:sz w:val="24"/>
              </w:rPr>
              <w:t>3</w:t>
            </w:r>
            <w:r>
              <w:rPr>
                <w:b/>
                <w:color w:val="000000"/>
                <w:sz w:val="24"/>
              </w:rPr>
              <w:t>、厂界噪声</w:t>
            </w:r>
          </w:p>
          <w:p>
            <w:pPr>
              <w:spacing w:line="360" w:lineRule="auto"/>
              <w:ind w:firstLine="480" w:firstLineChars="200"/>
              <w:rPr>
                <w:color w:val="000000"/>
                <w:sz w:val="24"/>
              </w:rPr>
            </w:pPr>
            <w:r>
              <w:rPr>
                <w:color w:val="000000"/>
                <w:sz w:val="24"/>
              </w:rPr>
              <w:t>（1）监测点位：东、南、西、北厂界外1m处各布设1个噪声监测点，共4个监测点；</w:t>
            </w:r>
          </w:p>
          <w:p>
            <w:pPr>
              <w:spacing w:line="360" w:lineRule="auto"/>
              <w:ind w:firstLine="480" w:firstLineChars="200"/>
              <w:rPr>
                <w:color w:val="000000"/>
                <w:sz w:val="24"/>
              </w:rPr>
            </w:pPr>
            <w:r>
              <w:rPr>
                <w:color w:val="000000"/>
                <w:sz w:val="24"/>
              </w:rPr>
              <w:t>（2）监测项目：昼、夜等效A声级（Leq)</w:t>
            </w:r>
          </w:p>
          <w:p>
            <w:pPr>
              <w:tabs>
                <w:tab w:val="left" w:pos="1798"/>
              </w:tabs>
              <w:spacing w:line="360" w:lineRule="auto"/>
              <w:ind w:firstLine="480" w:firstLineChars="200"/>
              <w:rPr>
                <w:color w:val="000000"/>
                <w:sz w:val="24"/>
              </w:rPr>
            </w:pPr>
            <w:bookmarkStart w:id="14" w:name="_Toc5613"/>
            <w:bookmarkStart w:id="15" w:name="_Toc981"/>
            <w:bookmarkStart w:id="16" w:name="_Toc10502"/>
            <w:bookmarkStart w:id="17" w:name="_Toc25101"/>
            <w:r>
              <w:rPr>
                <w:color w:val="000000"/>
                <w:sz w:val="24"/>
              </w:rPr>
              <w:t>（3）监测频次：</w:t>
            </w:r>
            <w:bookmarkEnd w:id="14"/>
            <w:bookmarkEnd w:id="15"/>
            <w:bookmarkEnd w:id="16"/>
            <w:bookmarkEnd w:id="17"/>
            <w:r>
              <w:rPr>
                <w:color w:val="000000"/>
                <w:sz w:val="24"/>
              </w:rPr>
              <w:t>昼、夜间各监测2次/天，共</w:t>
            </w:r>
            <w:r>
              <w:rPr>
                <w:rFonts w:hint="eastAsia"/>
                <w:color w:val="000000"/>
                <w:sz w:val="24"/>
              </w:rPr>
              <w:t>4</w:t>
            </w:r>
            <w:r>
              <w:rPr>
                <w:color w:val="000000"/>
                <w:sz w:val="24"/>
              </w:rPr>
              <w:t>次/天，连续监测2天。</w:t>
            </w:r>
          </w:p>
          <w:p>
            <w:pPr>
              <w:spacing w:line="360" w:lineRule="auto"/>
              <w:jc w:val="center"/>
            </w:pPr>
            <w:r>
              <w:rPr>
                <w:b/>
                <w:bCs/>
                <w:color w:val="000000"/>
                <w:szCs w:val="21"/>
              </w:rPr>
              <w:t>表6-4  噪声监测监测点位、项目、频次</w:t>
            </w:r>
          </w:p>
          <w:tbl>
            <w:tblPr>
              <w:tblStyle w:val="23"/>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12"/>
              <w:gridCol w:w="2643"/>
              <w:gridCol w:w="1557"/>
              <w:gridCol w:w="25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b/>
                      <w:bCs/>
                      <w:color w:val="000000"/>
                      <w:szCs w:val="21"/>
                    </w:rPr>
                  </w:pPr>
                  <w:r>
                    <w:rPr>
                      <w:b/>
                      <w:bCs/>
                      <w:color w:val="000000"/>
                      <w:szCs w:val="21"/>
                    </w:rPr>
                    <w:t>序号</w:t>
                  </w:r>
                </w:p>
              </w:tc>
              <w:tc>
                <w:tcPr>
                  <w:tcW w:w="1753" w:type="dxa"/>
                  <w:tcBorders>
                    <w:tl2br w:val="nil"/>
                    <w:tr2bl w:val="nil"/>
                  </w:tcBorders>
                  <w:vAlign w:val="center"/>
                </w:tcPr>
                <w:p>
                  <w:pPr>
                    <w:jc w:val="center"/>
                    <w:rPr>
                      <w:b/>
                      <w:bCs/>
                      <w:color w:val="000000"/>
                      <w:szCs w:val="21"/>
                    </w:rPr>
                  </w:pPr>
                  <w:r>
                    <w:rPr>
                      <w:b/>
                      <w:bCs/>
                      <w:color w:val="000000"/>
                      <w:szCs w:val="21"/>
                    </w:rPr>
                    <w:t>项目</w:t>
                  </w:r>
                </w:p>
              </w:tc>
              <w:tc>
                <w:tcPr>
                  <w:tcW w:w="2710" w:type="dxa"/>
                  <w:tcBorders>
                    <w:tl2br w:val="nil"/>
                    <w:tr2bl w:val="nil"/>
                  </w:tcBorders>
                  <w:vAlign w:val="center"/>
                </w:tcPr>
                <w:p>
                  <w:pPr>
                    <w:jc w:val="center"/>
                    <w:rPr>
                      <w:b/>
                      <w:bCs/>
                      <w:color w:val="000000"/>
                      <w:szCs w:val="21"/>
                    </w:rPr>
                  </w:pPr>
                  <w:r>
                    <w:rPr>
                      <w:b/>
                      <w:bCs/>
                      <w:color w:val="000000"/>
                      <w:szCs w:val="21"/>
                    </w:rPr>
                    <w:t>点位</w:t>
                  </w:r>
                </w:p>
              </w:tc>
              <w:tc>
                <w:tcPr>
                  <w:tcW w:w="1594" w:type="dxa"/>
                  <w:tcBorders>
                    <w:tl2br w:val="nil"/>
                    <w:tr2bl w:val="nil"/>
                  </w:tcBorders>
                  <w:vAlign w:val="center"/>
                </w:tcPr>
                <w:p>
                  <w:pPr>
                    <w:jc w:val="center"/>
                    <w:rPr>
                      <w:b/>
                      <w:bCs/>
                      <w:color w:val="000000"/>
                      <w:szCs w:val="21"/>
                    </w:rPr>
                  </w:pPr>
                  <w:r>
                    <w:rPr>
                      <w:b/>
                      <w:bCs/>
                      <w:color w:val="000000"/>
                      <w:szCs w:val="21"/>
                    </w:rPr>
                    <w:t>单位</w:t>
                  </w:r>
                </w:p>
              </w:tc>
              <w:tc>
                <w:tcPr>
                  <w:tcW w:w="2606" w:type="dxa"/>
                  <w:tcBorders>
                    <w:tl2br w:val="nil"/>
                    <w:tr2bl w:val="nil"/>
                  </w:tcBorders>
                  <w:vAlign w:val="center"/>
                </w:tcPr>
                <w:p>
                  <w:pPr>
                    <w:jc w:val="center"/>
                    <w:rPr>
                      <w:b/>
                      <w:bCs/>
                      <w:color w:val="000000"/>
                      <w:szCs w:val="21"/>
                    </w:rPr>
                  </w:pPr>
                  <w:r>
                    <w:rPr>
                      <w:b/>
                      <w:bCs/>
                      <w:color w:val="000000"/>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1</w:t>
                  </w:r>
                </w:p>
              </w:tc>
              <w:tc>
                <w:tcPr>
                  <w:tcW w:w="1753" w:type="dxa"/>
                  <w:vMerge w:val="restart"/>
                  <w:tcBorders>
                    <w:tl2br w:val="nil"/>
                    <w:tr2bl w:val="nil"/>
                  </w:tcBorders>
                  <w:vAlign w:val="center"/>
                </w:tcPr>
                <w:p>
                  <w:pPr>
                    <w:jc w:val="center"/>
                    <w:rPr>
                      <w:color w:val="000000"/>
                      <w:szCs w:val="21"/>
                    </w:rPr>
                  </w:pPr>
                  <w:r>
                    <w:rPr>
                      <w:color w:val="000000"/>
                      <w:szCs w:val="21"/>
                    </w:rPr>
                    <w:t>厂界噪声</w:t>
                  </w:r>
                </w:p>
              </w:tc>
              <w:tc>
                <w:tcPr>
                  <w:tcW w:w="2710" w:type="dxa"/>
                  <w:tcBorders>
                    <w:tl2br w:val="nil"/>
                    <w:tr2bl w:val="nil"/>
                  </w:tcBorders>
                  <w:vAlign w:val="center"/>
                </w:tcPr>
                <w:p>
                  <w:pPr>
                    <w:jc w:val="center"/>
                    <w:rPr>
                      <w:color w:val="000000"/>
                      <w:szCs w:val="21"/>
                    </w:rPr>
                  </w:pPr>
                  <w:r>
                    <w:rPr>
                      <w:color w:val="000000"/>
                      <w:szCs w:val="21"/>
                    </w:rPr>
                    <w:t>东厂界</w:t>
                  </w:r>
                </w:p>
              </w:tc>
              <w:tc>
                <w:tcPr>
                  <w:tcW w:w="1594" w:type="dxa"/>
                  <w:vMerge w:val="restart"/>
                  <w:tcBorders>
                    <w:tl2br w:val="nil"/>
                    <w:tr2bl w:val="nil"/>
                  </w:tcBorders>
                  <w:vAlign w:val="center"/>
                </w:tcPr>
                <w:p>
                  <w:pPr>
                    <w:jc w:val="center"/>
                    <w:rPr>
                      <w:color w:val="000000"/>
                      <w:szCs w:val="21"/>
                    </w:rPr>
                  </w:pPr>
                  <w:r>
                    <w:rPr>
                      <w:color w:val="000000"/>
                      <w:szCs w:val="21"/>
                    </w:rPr>
                    <w:t>Leq（A）</w:t>
                  </w:r>
                </w:p>
              </w:tc>
              <w:tc>
                <w:tcPr>
                  <w:tcW w:w="2606" w:type="dxa"/>
                  <w:vMerge w:val="restart"/>
                  <w:tcBorders>
                    <w:tl2br w:val="nil"/>
                    <w:tr2bl w:val="nil"/>
                  </w:tcBorders>
                  <w:vAlign w:val="center"/>
                </w:tcPr>
                <w:p>
                  <w:pPr>
                    <w:jc w:val="center"/>
                    <w:rPr>
                      <w:color w:val="000000"/>
                      <w:szCs w:val="21"/>
                    </w:rPr>
                  </w:pPr>
                  <w:r>
                    <w:rPr>
                      <w:color w:val="000000"/>
                      <w:szCs w:val="21"/>
                    </w:rPr>
                    <w:t>昼、夜间各监测1次/天，连续监测2天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2</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南厂界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3</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西厂界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4</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北厂界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bl>
          <w:p>
            <w:pPr>
              <w:pStyle w:val="4"/>
              <w:spacing w:before="0" w:after="0" w:line="360" w:lineRule="auto"/>
              <w:ind w:left="420" w:leftChars="200" w:firstLine="241" w:firstLineChars="100"/>
              <w:rPr>
                <w:bCs w:val="0"/>
                <w:color w:val="000000"/>
                <w:sz w:val="24"/>
                <w:szCs w:val="24"/>
              </w:rPr>
            </w:pPr>
            <w:r>
              <w:rPr>
                <w:rFonts w:hint="eastAsia"/>
                <w:bCs w:val="0"/>
                <w:color w:val="000000"/>
                <w:sz w:val="24"/>
                <w:szCs w:val="24"/>
              </w:rPr>
              <w:t>4、废水</w:t>
            </w:r>
          </w:p>
          <w:p>
            <w:pPr>
              <w:spacing w:line="360" w:lineRule="auto"/>
              <w:ind w:firstLine="480" w:firstLineChars="200"/>
              <w:jc w:val="left"/>
              <w:rPr>
                <w:color w:val="000000"/>
                <w:sz w:val="24"/>
              </w:rPr>
            </w:pPr>
            <w:r>
              <w:rPr>
                <w:color w:val="000000"/>
                <w:sz w:val="24"/>
              </w:rPr>
              <w:t>（1）监测点位：</w:t>
            </w:r>
            <w:r>
              <w:rPr>
                <w:rFonts w:hint="eastAsia"/>
                <w:color w:val="000000"/>
                <w:sz w:val="24"/>
              </w:rPr>
              <w:t>污水总排口</w:t>
            </w:r>
            <w:r>
              <w:rPr>
                <w:color w:val="000000"/>
                <w:sz w:val="24"/>
              </w:rPr>
              <w:t>；</w:t>
            </w:r>
          </w:p>
          <w:p>
            <w:pPr>
              <w:spacing w:line="360" w:lineRule="auto"/>
              <w:ind w:firstLine="480" w:firstLineChars="200"/>
              <w:jc w:val="left"/>
              <w:rPr>
                <w:color w:val="000000"/>
                <w:sz w:val="24"/>
              </w:rPr>
            </w:pPr>
            <w:r>
              <w:rPr>
                <w:color w:val="000000"/>
                <w:sz w:val="24"/>
              </w:rPr>
              <w:t>（2）监测项目：pH、CODcr、BOD</w:t>
            </w:r>
            <w:r>
              <w:rPr>
                <w:color w:val="000000"/>
                <w:sz w:val="24"/>
                <w:vertAlign w:val="subscript"/>
              </w:rPr>
              <w:t>5</w:t>
            </w:r>
            <w:r>
              <w:rPr>
                <w:color w:val="000000"/>
                <w:sz w:val="24"/>
              </w:rPr>
              <w:t>、SS、NH</w:t>
            </w:r>
            <w:r>
              <w:rPr>
                <w:color w:val="000000"/>
                <w:sz w:val="24"/>
                <w:vertAlign w:val="subscript"/>
              </w:rPr>
              <w:t>3</w:t>
            </w:r>
            <w:r>
              <w:rPr>
                <w:color w:val="000000"/>
                <w:sz w:val="24"/>
              </w:rPr>
              <w:t>-N；</w:t>
            </w:r>
          </w:p>
          <w:p>
            <w:pPr>
              <w:spacing w:line="360" w:lineRule="auto"/>
              <w:ind w:firstLine="480" w:firstLineChars="200"/>
              <w:jc w:val="left"/>
              <w:rPr>
                <w:color w:val="000000"/>
                <w:sz w:val="24"/>
              </w:rPr>
            </w:pPr>
            <w:r>
              <w:rPr>
                <w:color w:val="000000"/>
                <w:sz w:val="24"/>
              </w:rPr>
              <w:t>（3）监测频次：监测4次/天，监测2天。</w:t>
            </w:r>
          </w:p>
          <w:p>
            <w:pPr>
              <w:spacing w:line="360" w:lineRule="auto"/>
              <w:ind w:firstLine="422" w:firstLineChars="200"/>
              <w:jc w:val="center"/>
              <w:rPr>
                <w:b/>
                <w:bCs/>
                <w:color w:val="000000"/>
                <w:szCs w:val="21"/>
              </w:rPr>
            </w:pPr>
            <w:r>
              <w:rPr>
                <w:b/>
                <w:bCs/>
                <w:color w:val="000000"/>
                <w:szCs w:val="21"/>
              </w:rPr>
              <w:t>表6-</w:t>
            </w:r>
            <w:r>
              <w:rPr>
                <w:rFonts w:hint="eastAsia"/>
                <w:b/>
                <w:bCs/>
                <w:color w:val="000000"/>
                <w:szCs w:val="21"/>
              </w:rPr>
              <w:t xml:space="preserve">4 </w:t>
            </w:r>
            <w:r>
              <w:rPr>
                <w:b/>
                <w:bCs/>
                <w:color w:val="000000"/>
                <w:szCs w:val="21"/>
              </w:rPr>
              <w:t xml:space="preserve"> 废水监测点位、项目、频次</w:t>
            </w:r>
          </w:p>
          <w:tbl>
            <w:tblPr>
              <w:tblStyle w:val="24"/>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333"/>
              <w:gridCol w:w="2068"/>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0" w:hRule="atLeast"/>
                <w:jc w:val="center"/>
              </w:trPr>
              <w:tc>
                <w:tcPr>
                  <w:tcW w:w="1698" w:type="dxa"/>
                  <w:tcBorders>
                    <w:tl2br w:val="nil"/>
                    <w:tr2bl w:val="nil"/>
                  </w:tcBorders>
                  <w:vAlign w:val="center"/>
                </w:tcPr>
                <w:p>
                  <w:pPr>
                    <w:jc w:val="center"/>
                    <w:rPr>
                      <w:b/>
                      <w:bCs/>
                      <w:color w:val="000000"/>
                      <w:szCs w:val="21"/>
                    </w:rPr>
                  </w:pPr>
                  <w:r>
                    <w:rPr>
                      <w:b/>
                      <w:bCs/>
                      <w:color w:val="000000"/>
                      <w:szCs w:val="21"/>
                    </w:rPr>
                    <w:t>监测点位</w:t>
                  </w:r>
                </w:p>
              </w:tc>
              <w:tc>
                <w:tcPr>
                  <w:tcW w:w="3527" w:type="dxa"/>
                  <w:tcBorders>
                    <w:tl2br w:val="nil"/>
                    <w:tr2bl w:val="nil"/>
                  </w:tcBorders>
                  <w:vAlign w:val="center"/>
                </w:tcPr>
                <w:p>
                  <w:pPr>
                    <w:jc w:val="center"/>
                    <w:rPr>
                      <w:b/>
                      <w:bCs/>
                      <w:color w:val="000000"/>
                      <w:szCs w:val="21"/>
                    </w:rPr>
                  </w:pPr>
                  <w:r>
                    <w:rPr>
                      <w:b/>
                      <w:bCs/>
                      <w:color w:val="000000"/>
                      <w:szCs w:val="21"/>
                    </w:rPr>
                    <w:t>监测项目</w:t>
                  </w:r>
                </w:p>
              </w:tc>
              <w:tc>
                <w:tcPr>
                  <w:tcW w:w="2183" w:type="dxa"/>
                  <w:tcBorders>
                    <w:tl2br w:val="nil"/>
                    <w:tr2bl w:val="nil"/>
                  </w:tcBorders>
                  <w:vAlign w:val="center"/>
                </w:tcPr>
                <w:p>
                  <w:pPr>
                    <w:jc w:val="center"/>
                    <w:rPr>
                      <w:b/>
                      <w:bCs/>
                      <w:color w:val="000000"/>
                      <w:szCs w:val="21"/>
                    </w:rPr>
                  </w:pPr>
                  <w:r>
                    <w:rPr>
                      <w:b/>
                      <w:bCs/>
                      <w:color w:val="000000"/>
                      <w:szCs w:val="21"/>
                    </w:rPr>
                    <w:t>监测频次</w:t>
                  </w:r>
                </w:p>
              </w:tc>
              <w:tc>
                <w:tcPr>
                  <w:tcW w:w="2173" w:type="dxa"/>
                  <w:tcBorders>
                    <w:tl2br w:val="nil"/>
                    <w:tr2bl w:val="nil"/>
                  </w:tcBorders>
                  <w:vAlign w:val="center"/>
                </w:tcPr>
                <w:p>
                  <w:pPr>
                    <w:jc w:val="center"/>
                    <w:rPr>
                      <w:b/>
                      <w:bCs/>
                      <w:color w:val="000000"/>
                      <w:szCs w:val="21"/>
                    </w:rPr>
                  </w:pPr>
                  <w:r>
                    <w:rPr>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tcBorders>
                    <w:tl2br w:val="nil"/>
                    <w:tr2bl w:val="nil"/>
                  </w:tcBorders>
                  <w:vAlign w:val="center"/>
                </w:tcPr>
                <w:p>
                  <w:pPr>
                    <w:jc w:val="center"/>
                    <w:rPr>
                      <w:color w:val="000000"/>
                      <w:szCs w:val="21"/>
                    </w:rPr>
                  </w:pPr>
                  <w:r>
                    <w:rPr>
                      <w:szCs w:val="21"/>
                    </w:rPr>
                    <w:t>生活污水处理</w:t>
                  </w:r>
                  <w:r>
                    <w:rPr>
                      <w:rFonts w:hint="eastAsia"/>
                      <w:szCs w:val="21"/>
                    </w:rPr>
                    <w:t>总排</w:t>
                  </w:r>
                  <w:r>
                    <w:rPr>
                      <w:szCs w:val="21"/>
                    </w:rPr>
                    <w:t>口</w:t>
                  </w:r>
                </w:p>
              </w:tc>
              <w:tc>
                <w:tcPr>
                  <w:tcW w:w="3527" w:type="dxa"/>
                  <w:tcBorders>
                    <w:tl2br w:val="nil"/>
                    <w:tr2bl w:val="nil"/>
                  </w:tcBorders>
                  <w:vAlign w:val="center"/>
                </w:tcPr>
                <w:p>
                  <w:pPr>
                    <w:jc w:val="center"/>
                    <w:rPr>
                      <w:color w:val="000000"/>
                      <w:szCs w:val="21"/>
                    </w:rPr>
                  </w:pPr>
                  <w:r>
                    <w:rPr>
                      <w:color w:val="000000"/>
                      <w:szCs w:val="21"/>
                    </w:rPr>
                    <w:t>pH、悬浮物、化学需氧量、生化需氧量、氨氮</w:t>
                  </w:r>
                </w:p>
                <w:p>
                  <w:pPr>
                    <w:jc w:val="center"/>
                    <w:rPr>
                      <w:color w:val="000000"/>
                      <w:szCs w:val="21"/>
                    </w:rPr>
                  </w:pPr>
                  <w:r>
                    <w:rPr>
                      <w:color w:val="000000"/>
                      <w:szCs w:val="21"/>
                    </w:rPr>
                    <w:t>（记录日流量）</w:t>
                  </w:r>
                </w:p>
              </w:tc>
              <w:tc>
                <w:tcPr>
                  <w:tcW w:w="2183" w:type="dxa"/>
                  <w:tcBorders>
                    <w:tl2br w:val="nil"/>
                    <w:tr2bl w:val="nil"/>
                  </w:tcBorders>
                  <w:vAlign w:val="center"/>
                </w:tcPr>
                <w:p>
                  <w:pPr>
                    <w:jc w:val="center"/>
                    <w:rPr>
                      <w:color w:val="000000"/>
                      <w:szCs w:val="21"/>
                    </w:rPr>
                  </w:pPr>
                  <w:r>
                    <w:rPr>
                      <w:color w:val="000000"/>
                    </w:rPr>
                    <w:t>4次/天，连续监测2天</w:t>
                  </w:r>
                </w:p>
              </w:tc>
              <w:tc>
                <w:tcPr>
                  <w:tcW w:w="2173" w:type="dxa"/>
                  <w:tcBorders>
                    <w:tl2br w:val="nil"/>
                    <w:tr2bl w:val="nil"/>
                  </w:tcBorders>
                  <w:vAlign w:val="center"/>
                </w:tcPr>
                <w:p>
                  <w:pPr>
                    <w:jc w:val="center"/>
                    <w:rPr>
                      <w:color w:val="000000"/>
                    </w:rPr>
                  </w:pPr>
                  <w:r>
                    <w:rPr>
                      <w:color w:val="000000"/>
                      <w:szCs w:val="21"/>
                    </w:rPr>
                    <w:t>按建设项目竣工环保验收监测规范执行</w:t>
                  </w:r>
                </w:p>
              </w:tc>
            </w:tr>
          </w:tbl>
          <w:p>
            <w:pPr>
              <w:pStyle w:val="4"/>
              <w:spacing w:before="0" w:after="0" w:line="360" w:lineRule="auto"/>
            </w:pPr>
            <w:r>
              <w:rPr>
                <w:sz w:val="28"/>
                <w:szCs w:val="28"/>
              </w:rPr>
              <w:t>6.</w:t>
            </w:r>
            <w:r>
              <w:rPr>
                <w:rFonts w:hint="eastAsia"/>
                <w:sz w:val="28"/>
                <w:szCs w:val="28"/>
              </w:rPr>
              <w:t>2</w:t>
            </w:r>
            <w:r>
              <w:rPr>
                <w:sz w:val="28"/>
                <w:szCs w:val="28"/>
              </w:rPr>
              <w:t>验收监测布点图</w:t>
            </w:r>
            <w:bookmarkEnd w:id="13"/>
          </w:p>
          <w:p>
            <w:pPr>
              <w:spacing w:after="156" w:afterLines="50" w:line="360" w:lineRule="auto"/>
              <w:ind w:firstLine="482"/>
              <w:rPr>
                <w:bCs/>
                <w:color w:val="FF0000"/>
                <w:sz w:val="24"/>
              </w:rPr>
            </w:pPr>
            <w:r>
              <w:rPr>
                <w:bCs/>
                <w:color w:val="000000"/>
                <w:sz w:val="24"/>
              </w:rPr>
              <w:t>本次验收监测有组织废气、无组织废气、噪声的监测点位见下图。</w:t>
            </w:r>
            <w:r>
              <mc:AlternateContent>
                <mc:Choice Requires="wpg">
                  <w:drawing>
                    <wp:anchor distT="0" distB="0" distL="114300" distR="114300" simplePos="0" relativeHeight="251682816" behindDoc="0" locked="0" layoutInCell="1" allowOverlap="1">
                      <wp:simplePos x="0" y="0"/>
                      <wp:positionH relativeFrom="column">
                        <wp:posOffset>310515</wp:posOffset>
                      </wp:positionH>
                      <wp:positionV relativeFrom="paragraph">
                        <wp:posOffset>281305</wp:posOffset>
                      </wp:positionV>
                      <wp:extent cx="5450205" cy="559435"/>
                      <wp:effectExtent l="4445" t="4445" r="0" b="7620"/>
                      <wp:wrapNone/>
                      <wp:docPr id="69" name="组合 69"/>
                      <wp:cNvGraphicFramePr/>
                      <a:graphic xmlns:a="http://schemas.openxmlformats.org/drawingml/2006/main">
                        <a:graphicData uri="http://schemas.microsoft.com/office/word/2010/wordprocessingGroup">
                          <wpg:wgp>
                            <wpg:cNvGrpSpPr/>
                            <wpg:grpSpPr>
                              <a:xfrm>
                                <a:off x="0" y="0"/>
                                <a:ext cx="5450350" cy="559655"/>
                                <a:chOff x="3740" y="796873"/>
                                <a:chExt cx="7779" cy="919"/>
                              </a:xfrm>
                            </wpg:grpSpPr>
                            <wps:wsp>
                              <wps:cNvPr id="70" name="矩形 1"/>
                              <wps:cNvSpPr/>
                              <wps:spPr>
                                <a:xfrm>
                                  <a:off x="9593" y="797059"/>
                                  <a:ext cx="1926" cy="547"/>
                                </a:xfrm>
                                <a:prstGeom prst="rect">
                                  <a:avLst/>
                                </a:prstGeom>
                                <a:noFill/>
                                <a:ln>
                                  <a:noFill/>
                                </a:ln>
                              </wps:spPr>
                              <wps:txbx>
                                <w:txbxContent>
                                  <w:p>
                                    <w:pPr>
                                      <w:jc w:val="center"/>
                                      <w:rPr>
                                        <w:szCs w:val="21"/>
                                      </w:rPr>
                                    </w:pPr>
                                    <w:r>
                                      <w:rPr>
                                        <w:rFonts w:hint="eastAsia"/>
                                        <w:szCs w:val="21"/>
                                      </w:rPr>
                                      <w:t>排气筒高空排放1#</w:t>
                                    </w:r>
                                  </w:p>
                                </w:txbxContent>
                              </wps:txbx>
                              <wps:bodyPr upright="1"/>
                            </wps:wsp>
                            <wps:wsp>
                              <wps:cNvPr id="71"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72"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wps:wsp>
                            <wps:wsp>
                              <wps:cNvPr id="73" name="矩形 4"/>
                              <wps:cNvSpPr/>
                              <wps:spPr>
                                <a:xfrm>
                                  <a:off x="6823" y="796886"/>
                                  <a:ext cx="1926" cy="7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Cs w:val="21"/>
                                      </w:rPr>
                                      <w:t>集气罩+</w:t>
                                    </w:r>
                                    <w:r>
                                      <w:rPr>
                                        <w:bCs/>
                                        <w:szCs w:val="21"/>
                                      </w:rPr>
                                      <w:t>二级活性炭吸附</w:t>
                                    </w:r>
                                  </w:p>
                                </w:txbxContent>
                              </wps:txbx>
                              <wps:bodyPr upright="1"/>
                            </wps:wsp>
                            <wps:wsp>
                              <wps:cNvPr id="74"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wps:wsp>
                            <wps:wsp>
                              <wps:cNvPr id="75" name="矩形 6"/>
                              <wps:cNvSpPr/>
                              <wps:spPr>
                                <a:xfrm>
                                  <a:off x="3740" y="796873"/>
                                  <a:ext cx="2615" cy="9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高压釜处理废气、上胶、上密封胶工序有机废气收集</w:t>
                                    </w:r>
                                  </w:p>
                                </w:txbxContent>
                              </wps:txbx>
                              <wps:bodyPr upright="1"/>
                            </wps:wsp>
                          </wpg:wgp>
                        </a:graphicData>
                      </a:graphic>
                    </wp:anchor>
                  </w:drawing>
                </mc:Choice>
                <mc:Fallback>
                  <w:pict>
                    <v:group id="_x0000_s1026" o:spid="_x0000_s1026" o:spt="203" style="position:absolute;left:0pt;margin-left:24.45pt;margin-top:22.15pt;height:44.05pt;width:429.15pt;z-index:251682816;mso-width-relative:page;mso-height-relative:page;" coordorigin="3740,796873" coordsize="7779,919" o:gfxdata="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cG3Zc2gAAAAkBAAAPAAAAAAAAAAEAIAAAACIAAABkcnMvZG93bnJldi54bWxQ&#10;SwECFAAUAAAACACHTuJARR4C4hMFAACVFAAADgAAAAAAAAABACAAAAApAQAAZHJzL2Uyb0RvYy54&#10;bWxQSwUGAAAAAAYABgBZAQAArggAAAAA&#10;">
                      <o:lock v:ext="edit" aspectratio="f"/>
                      <v:rect id="矩形 1" o:spid="_x0000_s1026" o:spt="1" style="position:absolute;left:9593;top:797059;height:547;width:1926;"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Cs w:val="21"/>
                                </w:rPr>
                              </w:pPr>
                              <w:r>
                                <w:rPr>
                                  <w:rFonts w:hint="eastAsia"/>
                                  <w:szCs w:val="21"/>
                                </w:rPr>
                                <w:t>排气筒高空排放1#</w:t>
                              </w:r>
                            </w:p>
                          </w:txbxContent>
                        </v:textbox>
                      </v:rect>
                      <v:shape id="任意多边形 2" o:spid="_x0000_s1026" o:spt="100" style="position:absolute;left:9028;top:797015;height:283;width:285;" fillcolor="#FFFFFF" filled="t" stroked="t" coordsize="21600,21600" o:gfxdata="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I4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4" o:spid="_x0000_s1026" o:spt="1" style="position:absolute;left:6823;top:796886;height:763;width:192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szCs w:val="21"/>
                                </w:rPr>
                                <w:t>集气罩+</w:t>
                              </w:r>
                              <w:r>
                                <w:rPr>
                                  <w:bCs/>
                                  <w:szCs w:val="21"/>
                                </w:rPr>
                                <w:t>二级活性炭吸附</w:t>
                              </w:r>
                            </w:p>
                          </w:txbxContent>
                        </v:textbox>
                      </v:rect>
                      <v:line id="直接连接符 5" o:spid="_x0000_s1026" o:spt="20" style="position:absolute;left:6192;top:797327;flip:y;height:10;width:634;" filled="f" stroked="t" coordsize="21600,21600" o:gfxdata="UEsDBAoAAAAAAIdO4kAAAAAAAAAAAAAAAAAEAAAAZHJzL1BLAwQUAAAACACHTuJAyqzFzL0AAADb&#10;AAAADwAAAGRycy9kb3ducmV2LnhtbEWPQWvCQBSE74X+h+UVvIhulFJ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MX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6" o:spid="_x0000_s1026" o:spt="1" style="position:absolute;left:3740;top:796873;height:919;width:2615;"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高压釜处理废气、上胶、上密封胶工序有机废气收集</w:t>
                              </w:r>
                            </w:p>
                          </w:txbxContent>
                        </v:textbox>
                      </v:rect>
                    </v:group>
                  </w:pict>
                </mc:Fallback>
              </mc:AlternateContent>
            </w:r>
          </w:p>
          <w:p>
            <w:pPr>
              <w:jc w:val="center"/>
              <w:rPr>
                <w:b/>
                <w:bCs/>
                <w:color w:val="FF0000"/>
                <w:sz w:val="24"/>
              </w:rPr>
            </w:pPr>
            <w:bookmarkStart w:id="18" w:name="_Toc3196"/>
          </w:p>
          <w:p>
            <w:pPr>
              <w:jc w:val="center"/>
              <w:rPr>
                <w:b/>
                <w:bCs/>
                <w:color w:val="FF0000"/>
                <w:sz w:val="24"/>
              </w:rPr>
            </w:pPr>
          </w:p>
          <w:p>
            <w:pPr>
              <w:jc w:val="center"/>
              <w:rPr>
                <w:b/>
                <w:bCs/>
                <w:color w:val="FF0000"/>
                <w:sz w:val="24"/>
              </w:rPr>
            </w:pPr>
          </w:p>
          <w:p>
            <w:pPr>
              <w:spacing w:before="93" w:beforeLines="30"/>
              <w:jc w:val="center"/>
              <w:rPr>
                <w:b/>
                <w:bCs/>
                <w:color w:val="FF0000"/>
                <w:sz w:val="24"/>
              </w:rPr>
            </w:pPr>
            <w:r>
              <w:rPr>
                <w:b/>
                <w:color w:val="000000"/>
                <w:sz w:val="24"/>
              </w:rPr>
              <w:t>图</w:t>
            </w:r>
            <w:r>
              <w:rPr>
                <w:rFonts w:hint="eastAsia"/>
                <w:b/>
                <w:color w:val="000000"/>
                <w:sz w:val="24"/>
              </w:rPr>
              <w:t>6</w:t>
            </w:r>
            <w:r>
              <w:rPr>
                <w:b/>
                <w:color w:val="000000"/>
                <w:sz w:val="24"/>
              </w:rPr>
              <w:t>-1 有组织粉尘废气监测点位示意图</w:t>
            </w:r>
          </w:p>
          <w:p>
            <w:pPr>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3600" behindDoc="0" locked="0" layoutInCell="1" allowOverlap="1">
                      <wp:simplePos x="0" y="0"/>
                      <wp:positionH relativeFrom="column">
                        <wp:posOffset>2919095</wp:posOffset>
                      </wp:positionH>
                      <wp:positionV relativeFrom="paragraph">
                        <wp:posOffset>173355</wp:posOffset>
                      </wp:positionV>
                      <wp:extent cx="426085" cy="336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85pt;margin-top:13.65pt;height:26.5pt;width:33.55pt;z-index:251673600;mso-width-relative:page;mso-height-relative:page;" filled="f" stroked="f" coordsize="21600,21600" o:gfxdata="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svCW7bAAAACQEAAA8AAAAAAAAAAQAgAAAAIgAAAGRy&#10;cy9kb3ducmV2LnhtbFBLAQIUABQAAAAIAIdO4kBb8cHzOwIAAGcEAAAOAAAAAAAAAAEAIAAAACoB&#10;AABkcnMvZTJvRG9jLnhtbFBLBQYAAAAABgAGAFkBAADXBQAAAAA=&#10;">
                      <v:fill on="f" focussize="0,0"/>
                      <v:stroke on="f" weight="0.5pt"/>
                      <v:imagedata o:title=""/>
                      <o:lock v:ext="edit" aspectratio="f"/>
                      <v:textbox>
                        <w:txbxContent>
                          <w:p>
                            <w:pPr>
                              <w:rPr>
                                <w:b/>
                                <w:bCs/>
                              </w:rPr>
                            </w:pPr>
                            <w:r>
                              <w:rPr>
                                <w:rFonts w:hint="eastAsia"/>
                                <w:b/>
                                <w:bCs/>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4624" behindDoc="0" locked="0" layoutInCell="1" allowOverlap="1">
                      <wp:simplePos x="0" y="0"/>
                      <wp:positionH relativeFrom="column">
                        <wp:posOffset>2861310</wp:posOffset>
                      </wp:positionH>
                      <wp:positionV relativeFrom="paragraph">
                        <wp:posOffset>83185</wp:posOffset>
                      </wp:positionV>
                      <wp:extent cx="71755" cy="90170"/>
                      <wp:effectExtent l="9525" t="17145" r="13970" b="6985"/>
                      <wp:wrapNone/>
                      <wp:docPr id="41" name="等腰三角形 41"/>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5.3pt;margin-top:6.55pt;height:7.1pt;width:5.65pt;z-index:251674624;v-text-anchor:middle;mso-width-relative:page;mso-height-relative:page;" fillcolor="#000000 [3213]" filled="t" stroked="t" coordsize="21600,21600" o:gfxdata="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va7ZfXAAAACQEAAA8A&#10;AAAAAAAAAQAgAAAAIgAAAGRycy9kb3ducmV2LnhtbFBLAQIUABQAAAAIAIdO4kDgimHLigIAAAsF&#10;AAAOAAAAAAAAAAEAIAAAACY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1312" behindDoc="0" locked="0" layoutInCell="1" allowOverlap="1">
                      <wp:simplePos x="0" y="0"/>
                      <wp:positionH relativeFrom="column">
                        <wp:posOffset>2651125</wp:posOffset>
                      </wp:positionH>
                      <wp:positionV relativeFrom="paragraph">
                        <wp:posOffset>53340</wp:posOffset>
                      </wp:positionV>
                      <wp:extent cx="426085" cy="3365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4.2pt;height:26.5pt;width:33.55pt;z-index:251661312;mso-width-relative:page;mso-height-relative:page;" filled="f" stroked="f" coordsize="21600,21600" o:gfxdata="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Y54htkAAAAIAQAADwAAAAAAAAABACAAAAAiAAAAZHJz&#10;L2Rvd25yZXYueG1sUEsBAhQAFAAAAAgAh07iQCbk5KY8AgAAZwQAAA4AAAAAAAAAAQAgAAAAKAEA&#10;AGRycy9lMm9Eb2MueG1sUEsFBgAAAAAGAAYAWQEAANYFAAAAAA==&#10;">
                      <v:fill on="f" focussize="0,0"/>
                      <v:stroke on="f" weight="0.5pt"/>
                      <v:imagedata o:title=""/>
                      <o:lock v:ext="edit" aspectratio="f"/>
                      <v:textbox>
                        <w:txbxContent>
                          <w:p>
                            <w:pPr>
                              <w:rPr>
                                <w:b/>
                                <w:bCs/>
                              </w:rPr>
                            </w:pPr>
                            <w:r>
                              <w:rPr>
                                <w:rFonts w:hint="eastAsia"/>
                                <w:b/>
                                <w:bCs/>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9744" behindDoc="0" locked="0" layoutInCell="1" allowOverlap="1">
                      <wp:simplePos x="0" y="0"/>
                      <wp:positionH relativeFrom="column">
                        <wp:posOffset>4390390</wp:posOffset>
                      </wp:positionH>
                      <wp:positionV relativeFrom="paragraph">
                        <wp:posOffset>135890</wp:posOffset>
                      </wp:positionV>
                      <wp:extent cx="1308100" cy="292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上风向监控点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10.7pt;height:23pt;width:103pt;z-index:251679744;mso-width-relative:page;mso-height-relative:page;" filled="f" stroked="f" coordsize="21600,21600" o:gfxdata="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3tsftgAAAAJAQAADwAAAAAAAAABACAAAAAiAAAAZHJzL2Rv&#10;d25yZXYueG1sUEsBAhQAFAAAAAgAh07iQNxsAZM6AgAAaAQAAA4AAAAAAAAAAQAgAAAAJwEAAGRy&#10;cy9lMm9Eb2MueG1sUEsFBgAAAAAGAAYAWQEAANMFAAAAAA==&#10;">
                      <v:fill on="f" focussize="0,0"/>
                      <v:stroke on="f" weight="0.5pt"/>
                      <v:imagedata o:title=""/>
                      <o:lock v:ext="edit" aspectratio="f"/>
                      <v:textbox>
                        <w:txbxContent>
                          <w:p>
                            <w:r>
                              <w:rPr>
                                <w:rFonts w:hint="eastAsia"/>
                              </w:rPr>
                              <w:t>上风向监控点</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0528" behindDoc="0" locked="0" layoutInCell="1" allowOverlap="1">
                      <wp:simplePos x="0" y="0"/>
                      <wp:positionH relativeFrom="column">
                        <wp:posOffset>4364990</wp:posOffset>
                      </wp:positionH>
                      <wp:positionV relativeFrom="paragraph">
                        <wp:posOffset>73660</wp:posOffset>
                      </wp:positionV>
                      <wp:extent cx="90170" cy="90170"/>
                      <wp:effectExtent l="6350" t="6350" r="17780" b="17780"/>
                      <wp:wrapNone/>
                      <wp:docPr id="35" name="椭圆 35"/>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7pt;margin-top:5.8pt;height:7.1pt;width:7.1pt;z-index:251670528;v-text-anchor:middle;mso-width-relative:page;mso-height-relative:page;" filled="f" stroked="t" coordsize="21600,21600" o:gfxdata="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Xv1RNcAAAAJAQAADwAAAAAAAAABACAAAAAiAAAAZHJzL2Rvd25yZXYueG1s&#10;UEsBAhQAFAAAAAgAh07iQJ5Vnah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1173480</wp:posOffset>
                      </wp:positionH>
                      <wp:positionV relativeFrom="paragraph">
                        <wp:posOffset>150495</wp:posOffset>
                      </wp:positionV>
                      <wp:extent cx="3131820" cy="2137410"/>
                      <wp:effectExtent l="6350" t="6350" r="24130" b="8890"/>
                      <wp:wrapNone/>
                      <wp:docPr id="32" name="矩形 32"/>
                      <wp:cNvGraphicFramePr/>
                      <a:graphic xmlns:a="http://schemas.openxmlformats.org/drawingml/2006/main">
                        <a:graphicData uri="http://schemas.microsoft.com/office/word/2010/wordprocessingShape">
                          <wps:wsp>
                            <wps:cNvSpPr/>
                            <wps:spPr>
                              <a:xfrm>
                                <a:off x="0" y="0"/>
                                <a:ext cx="3131820" cy="2137410"/>
                              </a:xfrm>
                              <a:prstGeom prst="rect">
                                <a:avLst/>
                              </a:prstGeom>
                            </wps:spPr>
                            <wps:style>
                              <a:lnRef idx="2">
                                <a:schemeClr val="dk1"/>
                              </a:lnRef>
                              <a:fillRef idx="1">
                                <a:schemeClr val="lt1"/>
                              </a:fillRef>
                              <a:effectRef idx="0">
                                <a:schemeClr val="dk1"/>
                              </a:effectRef>
                              <a:fontRef idx="minor">
                                <a:schemeClr val="dk1"/>
                              </a:fontRef>
                            </wps:style>
                            <wps:txbx>
                              <w:txbxContent>
                                <w:p>
                                  <w:pPr>
                                    <w:ind w:firstLine="2160" w:firstLineChars="900"/>
                                    <w:rPr>
                                      <w:sz w:val="24"/>
                                    </w:rPr>
                                  </w:pPr>
                                  <w:r>
                                    <w:rPr>
                                      <w:rFonts w:hint="eastAsia"/>
                                      <w:sz w:val="24"/>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4pt;margin-top:11.85pt;height:168.3pt;width:246.6pt;z-index:251664384;v-text-anchor:middle;mso-width-relative:page;mso-height-relative:page;" fillcolor="#FFFFFF [3201]" filled="t" stroked="t" coordsize="21600,21600" o:gfxdata="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7UOo7XAAAACgEAAA8AAAAAAAAAAQAgAAAAIgAAAGRy&#10;cy9kb3ducmV2LnhtbFBLAQIUABQAAAAIAIdO4kCIowrneAIAAAIFAAAOAAAAAAAAAAEAIAAAACYB&#10;AABkcnMvZTJvRG9jLnhtbFBLBQYAAAAABgAGAFkBAAAQBgAAAAA=&#10;">
                      <v:fill on="t" focussize="0,0"/>
                      <v:stroke weight="1pt" color="#000000 [3200]" miterlimit="8" joinstyle="miter"/>
                      <v:imagedata o:title=""/>
                      <o:lock v:ext="edit" aspectratio="f"/>
                      <v:textbox>
                        <w:txbxContent>
                          <w:p>
                            <w:pPr>
                              <w:ind w:firstLine="2160" w:firstLineChars="900"/>
                              <w:rPr>
                                <w:sz w:val="24"/>
                              </w:rPr>
                            </w:pPr>
                            <w:r>
                              <w:rPr>
                                <w:rFonts w:hint="eastAsia"/>
                                <w:sz w:val="24"/>
                              </w:rPr>
                              <w:t>项目地</w:t>
                            </w:r>
                          </w:p>
                        </w:txbxContent>
                      </v:textbox>
                    </v:rect>
                  </w:pict>
                </mc:Fallback>
              </mc:AlternateContent>
            </w:r>
          </w:p>
          <w:p>
            <w:pPr>
              <w:rPr>
                <w:b/>
                <w:bCs/>
                <w:color w:val="FF0000"/>
                <w:sz w:val="24"/>
              </w:rPr>
            </w:pPr>
          </w:p>
          <w:bookmarkEnd w:id="18"/>
          <w:p>
            <w:pPr>
              <w:snapToGrid w:val="0"/>
              <w:spacing w:line="360" w:lineRule="auto"/>
              <w:rPr>
                <w:b/>
                <w:color w:val="FF0000"/>
                <w:sz w:val="24"/>
              </w:rPr>
            </w:pPr>
          </w:p>
          <w:p>
            <w:pPr>
              <w:snapToGrid w:val="0"/>
              <w:spacing w:line="360" w:lineRule="auto"/>
              <w:ind w:firstLine="880" w:firstLineChars="200"/>
              <w:jc w:val="center"/>
              <w:rPr>
                <w:b/>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59264" behindDoc="0" locked="0" layoutInCell="1" allowOverlap="1">
                      <wp:simplePos x="0" y="0"/>
                      <wp:positionH relativeFrom="column">
                        <wp:posOffset>3347720</wp:posOffset>
                      </wp:positionH>
                      <wp:positionV relativeFrom="paragraph">
                        <wp:posOffset>254000</wp:posOffset>
                      </wp:positionV>
                      <wp:extent cx="901700" cy="2921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017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印刷厂房外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6pt;margin-top:20pt;height:23pt;width:71pt;z-index:251659264;mso-width-relative:page;mso-height-relative:page;" filled="f" stroked="f" coordsize="21600,21600" o:gfxdata="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IAGr2gAAAAkBAAAPAAAAAAAAAAEAIAAAACIAAABkcnMv&#10;ZG93bnJldi54bWxQSwECFAAUAAAACACHTuJAQKFKLzoCAABnBAAADgAAAAAAAAABACAAAAApAQAA&#10;ZHJzL2Uyb0RvYy54bWxQSwUGAAAAAAYABgBZAQAA1QUAAAAA&#10;">
                      <v:fill on="f" focussize="0,0"/>
                      <v:stroke on="f" weight="0.5pt"/>
                      <v:imagedata o:title=""/>
                      <o:lock v:ext="edit" aspectratio="f"/>
                      <v:textbox>
                        <w:txbxContent>
                          <w:p>
                            <w:pPr>
                              <w:rPr>
                                <w:b/>
                                <w:bCs/>
                              </w:rPr>
                            </w:pPr>
                            <w:r>
                              <w:rPr>
                                <w:rFonts w:hint="eastAsia"/>
                                <w:b/>
                                <w:bCs/>
                              </w:rPr>
                              <w:t>印刷厂房外</w:t>
                            </w:r>
                          </w:p>
                        </w:txbxContent>
                      </v:textbox>
                    </v:shape>
                  </w:pict>
                </mc:Fallback>
              </mc:AlternateContent>
            </w:r>
          </w:p>
          <w:p>
            <w:pPr>
              <w:snapToGrid w:val="0"/>
              <w:spacing w:line="360" w:lineRule="auto"/>
              <w:ind w:firstLine="4840" w:firstLineChars="1100"/>
              <w:rPr>
                <w:b/>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7696" behindDoc="0" locked="0" layoutInCell="1" allowOverlap="1">
                      <wp:simplePos x="0" y="0"/>
                      <wp:positionH relativeFrom="column">
                        <wp:posOffset>3305175</wp:posOffset>
                      </wp:positionH>
                      <wp:positionV relativeFrom="paragraph">
                        <wp:posOffset>116840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25pt;margin-top:9.2pt;height:7.1pt;width:7.1pt;z-index:251677696;v-text-anchor:middle;mso-width-relative:page;mso-height-relative:page;" filled="f" stroked="t" coordsize="21600,21600" o:gfxdata="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v1aU3XAAAACQEAAA8AAAAAAAAAAQAgAAAAIgAAAGRycy9kb3ducmV2LnhtbFBL&#10;AQIUABQAAAAIAIdO4kD9S5++aQIAANYEAAAOAAAAAAAAAAEAIAAAACY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0288" behindDoc="0" locked="0" layoutInCell="1" allowOverlap="1">
                      <wp:simplePos x="0" y="0"/>
                      <wp:positionH relativeFrom="column">
                        <wp:posOffset>705485</wp:posOffset>
                      </wp:positionH>
                      <wp:positionV relativeFrom="paragraph">
                        <wp:posOffset>130810</wp:posOffset>
                      </wp:positionV>
                      <wp:extent cx="426085" cy="3365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10.3pt;height:26.5pt;width:33.55pt;z-index:251660288;mso-width-relative:page;mso-height-relative:page;" filled="f" stroked="f" coordsize="21600,21600" o:gfxdata="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84yvZAAAACQEAAA8AAAAAAAAAAQAgAAAAIgAAAGRycy9k&#10;b3ducmV2LnhtbFBLAQIUABQAAAAIAIdO4kBqf9/WOgIAAGcEAAAOAAAAAAAAAAEAIAAAACgBAABk&#10;cnMvZTJvRG9jLnhtbFBLBQYAAAAABgAGAFkBAADUBQAAAAA=&#10;">
                      <v:fill on="f" focussize="0,0"/>
                      <v:stroke on="f" weight="0.5pt"/>
                      <v:imagedata o:title=""/>
                      <o:lock v:ext="edit" aspectratio="f"/>
                      <v:textbox>
                        <w:txbxContent>
                          <w:p>
                            <w:pPr>
                              <w:rPr>
                                <w:b/>
                                <w:bCs/>
                              </w:rPr>
                            </w:pPr>
                            <w:r>
                              <w:rPr>
                                <w:rFonts w:hint="eastAsia"/>
                                <w:b/>
                                <w:bCs/>
                              </w:rPr>
                              <w:t>N3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2576" behindDoc="0" locked="0" layoutInCell="1" allowOverlap="1">
                      <wp:simplePos x="0" y="0"/>
                      <wp:positionH relativeFrom="column">
                        <wp:posOffset>1012825</wp:posOffset>
                      </wp:positionH>
                      <wp:positionV relativeFrom="paragraph">
                        <wp:posOffset>232410</wp:posOffset>
                      </wp:positionV>
                      <wp:extent cx="71755" cy="90170"/>
                      <wp:effectExtent l="9525" t="17145" r="13970" b="6985"/>
                      <wp:wrapNone/>
                      <wp:docPr id="47" name="等腰三角形 47"/>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9.75pt;margin-top:18.3pt;height:7.1pt;width:5.65pt;z-index:251672576;v-text-anchor:middle;mso-width-relative:page;mso-height-relative:page;" fillcolor="#000000 [3213]" filled="t" stroked="t" coordsize="21600,21600" o:gfxdata="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9DWAAAACQEAAA8A&#10;AAAAAAAAAQAgAAAAIgAAAGRycy9kb3ducmV2LnhtbFBLAQIUABQAAAAIAIdO4kCbIe3ZiwIAAAsF&#10;AAAOAAAAAAAAAAEAIAAAACU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3360" behindDoc="0" locked="0" layoutInCell="1" allowOverlap="1">
                      <wp:simplePos x="0" y="0"/>
                      <wp:positionH relativeFrom="column">
                        <wp:posOffset>4392930</wp:posOffset>
                      </wp:positionH>
                      <wp:positionV relativeFrom="paragraph">
                        <wp:posOffset>72390</wp:posOffset>
                      </wp:positionV>
                      <wp:extent cx="426085" cy="3365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5.7pt;height:26.5pt;width:33.55pt;z-index:251663360;mso-width-relative:page;mso-height-relative:page;" filled="f" stroked="f" coordsize="21600,21600" o:gfxdata="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v7IO2QAAAAkBAAAPAAAAAAAAAAEAIAAAACIAAABkcnMv&#10;ZG93bnJldi54bWxQSwECFAAUAAAACACHTuJAOe38uTsCAABnBAAADgAAAAAAAAABACAAAAAoAQAA&#10;ZHJzL2Uyb0RvYy54bWxQSwUGAAAAAAYABgBZAQAA1QUAAAAA&#10;">
                      <v:fill on="f" focussize="0,0"/>
                      <v:stroke on="f" weight="0.5pt"/>
                      <v:imagedata o:title=""/>
                      <o:lock v:ext="edit" aspectratio="f"/>
                      <v:textbox>
                        <w:txbxContent>
                          <w:p>
                            <w:pPr>
                              <w:rPr>
                                <w:b/>
                                <w:bCs/>
                              </w:rPr>
                            </w:pPr>
                            <w:r>
                              <w:rPr>
                                <w:rFonts w:hint="eastAsia"/>
                                <w:b/>
                                <w:bCs/>
                              </w:rPr>
                              <w:t>N1</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5648" behindDoc="0" locked="0" layoutInCell="1" allowOverlap="1">
                      <wp:simplePos x="0" y="0"/>
                      <wp:positionH relativeFrom="column">
                        <wp:posOffset>4401185</wp:posOffset>
                      </wp:positionH>
                      <wp:positionV relativeFrom="paragraph">
                        <wp:posOffset>181610</wp:posOffset>
                      </wp:positionV>
                      <wp:extent cx="71755" cy="90170"/>
                      <wp:effectExtent l="9525" t="17145" r="13970" b="6985"/>
                      <wp:wrapNone/>
                      <wp:docPr id="44" name="等腰三角形 44"/>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6.55pt;margin-top:14.3pt;height:7.1pt;width:5.65pt;z-index:251675648;v-text-anchor:middle;mso-width-relative:page;mso-height-relative:page;" fillcolor="#000000 [3213]" filled="t" stroked="t" coordsize="21600,21600" o:gfxdata="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gbHP9gAAAAJAQAA&#10;DwAAAAAAAAABACAAAAAiAAAAZHJzL2Rvd25yZXYueG1sUEsBAhQAFAAAAAgAh07iQAb3Ez2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rPr>
                <w:b/>
                <w:sz w:val="24"/>
              </w:rPr>
            </w:pPr>
          </w:p>
          <w:p>
            <w:pPr>
              <w:snapToGrid w:val="0"/>
              <w:spacing w:line="360" w:lineRule="auto"/>
              <w:ind w:firstLine="4840" w:firstLineChars="1100"/>
              <w:rPr>
                <w:b/>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1552" behindDoc="0" locked="0" layoutInCell="1" allowOverlap="1">
                      <wp:simplePos x="0" y="0"/>
                      <wp:positionH relativeFrom="column">
                        <wp:posOffset>-175260</wp:posOffset>
                      </wp:positionH>
                      <wp:positionV relativeFrom="paragraph">
                        <wp:posOffset>179705</wp:posOffset>
                      </wp:positionV>
                      <wp:extent cx="1308100" cy="2921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下风向监控点1#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14.15pt;height:23pt;width:103pt;z-index:251671552;mso-width-relative:page;mso-height-relative:page;" filled="f" stroked="f" coordsize="21600,21600" o:gfxdata="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GfLLbAAAACQEAAA8AAAAAAAAAAQAgAAAAIgAAAGRy&#10;cy9kb3ducmV2LnhtbFBLAQIUABQAAAAIAIdO4kBgPfwmOwIAAGgEAAAOAAAAAAAAAAEAIAAAACoB&#10;AABkcnMvZTJvRG9jLnhtbFBLBQYAAAAABgAGAFkBAADXBQAAAAA=&#10;">
                      <v:fill on="f" focussize="0,0"/>
                      <v:stroke on="f" weight="0.5pt"/>
                      <v:imagedata o:title=""/>
                      <o:lock v:ext="edit" aspectratio="f"/>
                      <v:textbox>
                        <w:txbxContent>
                          <w:p>
                            <w:pPr>
                              <w:rPr>
                                <w:b/>
                                <w:bCs/>
                              </w:rPr>
                            </w:pPr>
                            <w:r>
                              <w:rPr>
                                <w:rFonts w:hint="eastAsia"/>
                                <w:b/>
                                <w:bCs/>
                              </w:rPr>
                              <w:t>下风向监控点1#</w:t>
                            </w:r>
                          </w:p>
                        </w:txbxContent>
                      </v:textbox>
                    </v:shape>
                  </w:pict>
                </mc:Fallback>
              </mc:AlternateContent>
            </w:r>
          </w:p>
          <w:p>
            <w:pPr>
              <w:snapToGrid w:val="0"/>
              <w:spacing w:line="360" w:lineRule="auto"/>
              <w:ind w:firstLine="2310" w:firstLineChars="1100"/>
              <w:rPr>
                <w:b/>
                <w:sz w:val="24"/>
              </w:rPr>
            </w:pPr>
            <w:r>
              <w:drawing>
                <wp:anchor distT="0" distB="0" distL="114300" distR="114300" simplePos="0" relativeHeight="251667456" behindDoc="0" locked="0" layoutInCell="1" allowOverlap="1">
                  <wp:simplePos x="0" y="0"/>
                  <wp:positionH relativeFrom="column">
                    <wp:posOffset>4403090</wp:posOffset>
                  </wp:positionH>
                  <wp:positionV relativeFrom="paragraph">
                    <wp:posOffset>53340</wp:posOffset>
                  </wp:positionV>
                  <wp:extent cx="1400175" cy="485775"/>
                  <wp:effectExtent l="0" t="0" r="9525" b="952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2"/>
                          <a:stretch>
                            <a:fillRect/>
                          </a:stretch>
                        </pic:blipFill>
                        <pic:spPr>
                          <a:xfrm>
                            <a:off x="0" y="0"/>
                            <a:ext cx="1400175" cy="485775"/>
                          </a:xfrm>
                          <a:prstGeom prst="rect">
                            <a:avLst/>
                          </a:prstGeom>
                          <a:noFill/>
                          <a:ln>
                            <a:noFill/>
                          </a:ln>
                        </pic:spPr>
                      </pic:pic>
                    </a:graphicData>
                  </a:graphic>
                </wp:anchor>
              </w:drawing>
            </w:r>
            <w:r>
              <w:rPr>
                <w:rFonts w:hint="eastAsia" w:asciiTheme="minorEastAsia" w:hAnsiTheme="minorEastAsia" w:eastAsiaTheme="minorEastAsia" w:cstheme="minorEastAsia"/>
                <w:sz w:val="44"/>
              </w:rPr>
              <mc:AlternateContent>
                <mc:Choice Requires="wps">
                  <w:drawing>
                    <wp:anchor distT="0" distB="0" distL="114300" distR="114300" simplePos="0" relativeHeight="251669504" behindDoc="0" locked="0" layoutInCell="1" allowOverlap="1">
                      <wp:simplePos x="0" y="0"/>
                      <wp:positionH relativeFrom="column">
                        <wp:posOffset>962660</wp:posOffset>
                      </wp:positionH>
                      <wp:positionV relativeFrom="paragraph">
                        <wp:posOffset>62865</wp:posOffset>
                      </wp:positionV>
                      <wp:extent cx="90170" cy="90170"/>
                      <wp:effectExtent l="6350" t="6350" r="17780" b="17780"/>
                      <wp:wrapNone/>
                      <wp:docPr id="34" name="椭圆 34"/>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8pt;margin-top:4.95pt;height:7.1pt;width:7.1pt;z-index:251669504;v-text-anchor:middle;mso-width-relative:page;mso-height-relative:page;" filled="f" stroked="t" coordsize="21600,21600" o:gfxdata="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TWG7VAAAACAEAAA8AAAAAAAAAAQAgAAAAIgAAAGRycy9kb3ducmV2LnhtbFBL&#10;AQIUABQAAAAIAIdO4kD8l2fJawIAANgEAAAOAAAAAAAAAAEAIAAAACQ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rPr>
                <w:b/>
                <w:sz w:val="24"/>
              </w:rPr>
            </w:pPr>
          </w:p>
          <w:p>
            <w:pPr>
              <w:snapToGrid w:val="0"/>
              <w:spacing w:line="360" w:lineRule="auto"/>
              <w:ind w:firstLine="4840" w:firstLineChars="1100"/>
              <w:rPr>
                <w:b/>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66432" behindDoc="0" locked="0" layoutInCell="1" allowOverlap="1">
                      <wp:simplePos x="0" y="0"/>
                      <wp:positionH relativeFrom="column">
                        <wp:posOffset>2725420</wp:posOffset>
                      </wp:positionH>
                      <wp:positionV relativeFrom="paragraph">
                        <wp:posOffset>84455</wp:posOffset>
                      </wp:positionV>
                      <wp:extent cx="426085" cy="336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6.65pt;height:26.5pt;width:33.55pt;z-index:251666432;mso-width-relative:page;mso-height-relative:page;" filled="f" stroked="f" coordsize="21600,21600" o:gfxdata="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DeXraAAAACQEAAA8AAAAAAAAAAQAgAAAAIgAAAGRy&#10;cy9kb3ducmV2LnhtbFBLAQIUABQAAAAIAIdO4kB8mydOPAIAAGcEAAAOAAAAAAAAAAEAIAAAACkB&#10;AABkcnMvZTJvRG9jLnhtbFBLBQYAAAAABgAGAFkBAADXBQAAAAA=&#10;">
                      <v:fill on="f" focussize="0,0"/>
                      <v:stroke on="f" weight="0.5pt"/>
                      <v:imagedata o:title=""/>
                      <o:lock v:ext="edit" aspectratio="f"/>
                      <v:textbox>
                        <w:txbxContent>
                          <w:p>
                            <w:pPr>
                              <w:rPr>
                                <w:b/>
                                <w:bCs/>
                              </w:rPr>
                            </w:pPr>
                            <w:r>
                              <w:rPr>
                                <w:rFonts w:hint="eastAsia"/>
                                <w:b/>
                                <w:bCs/>
                              </w:rPr>
                              <w:t>N2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8720" behindDoc="0" locked="0" layoutInCell="1" allowOverlap="1">
                      <wp:simplePos x="0" y="0"/>
                      <wp:positionH relativeFrom="column">
                        <wp:posOffset>2720340</wp:posOffset>
                      </wp:positionH>
                      <wp:positionV relativeFrom="paragraph">
                        <wp:posOffset>170815</wp:posOffset>
                      </wp:positionV>
                      <wp:extent cx="71755" cy="90170"/>
                      <wp:effectExtent l="9525" t="17145" r="13970" b="6985"/>
                      <wp:wrapNone/>
                      <wp:docPr id="52" name="等腰三角形 52"/>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2pt;margin-top:13.45pt;height:7.1pt;width:5.65pt;z-index:251678720;v-text-anchor:middle;mso-width-relative:page;mso-height-relative:page;" fillcolor="#000000 [3213]" filled="t" stroked="t" coordsize="21600,21600" o:gfxdata="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4kK6dgAAAAJAQAA&#10;DwAAAAAAAAABACAAAAAiAAAAZHJzL2Rvd25yZXYueG1sUEsBAhQAFAAAAAgAh07iQKeueeO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6672" behindDoc="0" locked="0" layoutInCell="1" allowOverlap="1">
                      <wp:simplePos x="0" y="0"/>
                      <wp:positionH relativeFrom="column">
                        <wp:posOffset>906145</wp:posOffset>
                      </wp:positionH>
                      <wp:positionV relativeFrom="paragraph">
                        <wp:posOffset>175895</wp:posOffset>
                      </wp:positionV>
                      <wp:extent cx="1308100" cy="2921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下风向监控点3#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5pt;margin-top:13.85pt;height:23pt;width:103pt;z-index:251676672;mso-width-relative:page;mso-height-relative:page;" filled="f" stroked="f" coordsize="21600,21600" o:gfxdata="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jA4hfaAAAACQEAAA8AAAAAAAAAAQAgAAAAIgAAAGRy&#10;cy9kb3ducmV2LnhtbFBLAQIUABQAAAAIAIdO4kCy4X4qPAIAAGgEAAAOAAAAAAAAAAEAIAAAACkB&#10;AABkcnMvZTJvRG9jLnhtbFBLBQYAAAAABgAGAFkBAADXBQAAAAA=&#10;">
                      <v:fill on="f" focussize="0,0"/>
                      <v:stroke on="f" weight="0.5pt"/>
                      <v:imagedata o:title=""/>
                      <o:lock v:ext="edit" aspectratio="f"/>
                      <v:textbox>
                        <w:txbxContent>
                          <w:p>
                            <w:pPr>
                              <w:rPr>
                                <w:b/>
                                <w:bCs/>
                              </w:rPr>
                            </w:pPr>
                            <w:r>
                              <w:rPr>
                                <w:rFonts w:hint="eastAsia"/>
                                <w:b/>
                                <w:bCs/>
                              </w:rPr>
                              <w:t>下风向监控点3#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95885</wp:posOffset>
                      </wp:positionV>
                      <wp:extent cx="1308100" cy="2921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下风向监控点2#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7.55pt;height:23pt;width:103pt;z-index:251662336;mso-width-relative:page;mso-height-relative:page;" filled="f" stroked="f" coordsize="21600,21600" o:gfxdata="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QRn9oAAAAJAQAADwAAAAAAAAABACAAAAAiAAAAZHJz&#10;L2Rvd25yZXYueG1sUEsBAhQAFAAAAAgAh07iQCeaKKE7AgAAaAQAAA4AAAAAAAAAAQAgAAAAKQEA&#10;AGRycy9lMm9Eb2MueG1sUEsFBgAAAAAGAAYAWQEAANYFAAAAAA==&#10;">
                      <v:fill on="f" focussize="0,0"/>
                      <v:stroke on="f" weight="0.5pt"/>
                      <v:imagedata o:title=""/>
                      <o:lock v:ext="edit" aspectratio="f"/>
                      <v:textbox>
                        <w:txbxContent>
                          <w:p>
                            <w:pPr>
                              <w:rPr>
                                <w:b/>
                                <w:bCs/>
                              </w:rPr>
                            </w:pPr>
                            <w:r>
                              <w:rPr>
                                <w:rFonts w:hint="eastAsia"/>
                                <w:b/>
                                <w:bCs/>
                              </w:rPr>
                              <w:t>下风向监控点2#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5408" behindDoc="0" locked="0" layoutInCell="1" allowOverlap="1">
                      <wp:simplePos x="0" y="0"/>
                      <wp:positionH relativeFrom="column">
                        <wp:posOffset>1494155</wp:posOffset>
                      </wp:positionH>
                      <wp:positionV relativeFrom="paragraph">
                        <wp:posOffset>142875</wp:posOffset>
                      </wp:positionV>
                      <wp:extent cx="90170" cy="90170"/>
                      <wp:effectExtent l="6350" t="6350" r="17780" b="17780"/>
                      <wp:wrapNone/>
                      <wp:docPr id="46" name="椭圆 46"/>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65pt;margin-top:11.25pt;height:7.1pt;width:7.1pt;z-index:251665408;v-text-anchor:middle;mso-width-relative:page;mso-height-relative:page;" filled="f" stroked="t" coordsize="21600,21600" o:gfxdata="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QcinNcAAAAJAQAADwAAAAAAAAABACAAAAAiAAAAZHJzL2Rvd25yZXYueG1s&#10;UEsBAhQAFAAAAAgAh07iQLj6Yd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8480" behindDoc="0" locked="0" layoutInCell="1" allowOverlap="1">
                      <wp:simplePos x="0" y="0"/>
                      <wp:positionH relativeFrom="column">
                        <wp:posOffset>948055</wp:posOffset>
                      </wp:positionH>
                      <wp:positionV relativeFrom="paragraph">
                        <wp:posOffset>52070</wp:posOffset>
                      </wp:positionV>
                      <wp:extent cx="90170" cy="90170"/>
                      <wp:effectExtent l="6350" t="6350" r="17780" b="17780"/>
                      <wp:wrapNone/>
                      <wp:docPr id="33" name="椭圆 33"/>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65pt;margin-top:4.1pt;height:7.1pt;width:7.1pt;z-index:251668480;v-text-anchor:middle;mso-width-relative:page;mso-height-relative:page;" filled="f" stroked="t" coordsize="21600,21600" o:gfxdata="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DA5IdcAAAAIAQAADwAAAAAAAAABACAAAAAiAAAAZHJzL2Rvd25yZXYueG1s&#10;UEsBAhQAFAAAAAgAh07iQJPe8j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rPr>
                <w:b/>
                <w:sz w:val="24"/>
              </w:rPr>
            </w:pPr>
          </w:p>
          <w:p>
            <w:pPr>
              <w:snapToGrid w:val="0"/>
              <w:spacing w:line="360" w:lineRule="auto"/>
              <w:ind w:firstLine="2650" w:firstLineChars="1100"/>
              <w:rPr>
                <w:b/>
                <w:sz w:val="24"/>
              </w:rPr>
            </w:pPr>
            <w:r>
              <w:rPr>
                <w:b/>
                <w:sz w:val="24"/>
              </w:rPr>
              <w:t>图</w:t>
            </w:r>
            <w:r>
              <w:rPr>
                <w:rFonts w:hint="eastAsia"/>
                <w:b/>
                <w:sz w:val="24"/>
              </w:rPr>
              <w:t>6</w:t>
            </w:r>
            <w:r>
              <w:rPr>
                <w:b/>
                <w:sz w:val="24"/>
              </w:rPr>
              <w:t>-2 无组织废气及噪声监测点位示意图</w:t>
            </w:r>
          </w:p>
          <w:p>
            <w:pPr>
              <w:pStyle w:val="4"/>
              <w:spacing w:before="0" w:after="0" w:line="360" w:lineRule="auto"/>
              <w:rPr>
                <w:sz w:val="28"/>
                <w:szCs w:val="28"/>
              </w:rPr>
            </w:pPr>
            <w:r>
              <w:rPr>
                <w:sz w:val="28"/>
                <w:szCs w:val="28"/>
              </w:rPr>
              <w:t>6.3固废检查内容</w:t>
            </w:r>
          </w:p>
          <w:p>
            <w:pPr>
              <w:snapToGrid w:val="0"/>
              <w:spacing w:line="480" w:lineRule="exact"/>
              <w:ind w:firstLine="480" w:firstLineChars="200"/>
              <w:rPr>
                <w:rFonts w:ascii="宋体" w:hAnsi="宋体"/>
                <w:sz w:val="24"/>
              </w:rPr>
            </w:pPr>
            <w:r>
              <w:rPr>
                <w:rFonts w:hint="eastAsia" w:ascii="宋体" w:hAnsi="宋体"/>
                <w:sz w:val="24"/>
              </w:rPr>
              <w:t>本项目所产生的</w:t>
            </w:r>
            <w:r>
              <w:rPr>
                <w:rFonts w:hint="eastAsia" w:ascii="宋体" w:hAnsi="宋体" w:cs="宋体"/>
                <w:sz w:val="24"/>
              </w:rPr>
              <w:t>一般固废</w:t>
            </w:r>
            <w:r>
              <w:rPr>
                <w:rFonts w:ascii="宋体" w:hAnsi="宋体" w:cs="宋体"/>
                <w:sz w:val="24"/>
              </w:rPr>
              <w:t>主要为</w:t>
            </w:r>
            <w:r>
              <w:rPr>
                <w:rFonts w:hint="eastAsia"/>
                <w:bCs/>
                <w:sz w:val="24"/>
              </w:rPr>
              <w:t>废玻璃、边角料</w:t>
            </w:r>
            <w:r>
              <w:rPr>
                <w:rFonts w:hint="eastAsia"/>
                <w:bCs/>
                <w:color w:val="auto"/>
                <w:sz w:val="24"/>
              </w:rPr>
              <w:t>及</w:t>
            </w:r>
            <w:r>
              <w:rPr>
                <w:rFonts w:hint="eastAsia" w:ascii="宋体" w:hAnsi="宋体" w:cs="宋体"/>
                <w:color w:val="auto"/>
                <w:sz w:val="24"/>
                <w:lang w:eastAsia="zh-CN"/>
              </w:rPr>
              <w:t>水净化设备产生的污泥</w:t>
            </w:r>
            <w:r>
              <w:rPr>
                <w:rFonts w:hint="eastAsia" w:ascii="宋体" w:hAnsi="宋体" w:cs="宋体"/>
                <w:color w:val="auto"/>
                <w:sz w:val="24"/>
              </w:rPr>
              <w:t>、</w:t>
            </w:r>
            <w:r>
              <w:rPr>
                <w:rFonts w:hint="eastAsia" w:ascii="宋体" w:hAnsi="宋体" w:cs="宋体"/>
                <w:sz w:val="24"/>
              </w:rPr>
              <w:t>职</w:t>
            </w:r>
            <w:r>
              <w:rPr>
                <w:rFonts w:hint="eastAsia"/>
                <w:sz w:val="24"/>
              </w:rPr>
              <w:t>工生活产生的生活垃圾</w:t>
            </w:r>
            <w:r>
              <w:rPr>
                <w:rFonts w:ascii="宋体" w:hAnsi="宋体" w:cs="宋体"/>
                <w:sz w:val="24"/>
              </w:rPr>
              <w:t>。</w:t>
            </w:r>
            <w:r>
              <w:rPr>
                <w:rFonts w:hint="eastAsia"/>
                <w:sz w:val="24"/>
              </w:rPr>
              <w:t>职工生活垃圾委托环卫部门处置；废玻璃、边角料由玻璃生产厂家回收再利用；</w:t>
            </w:r>
            <w:r>
              <w:rPr>
                <w:rFonts w:hint="eastAsia"/>
                <w:sz w:val="24"/>
                <w:lang w:eastAsia="zh-CN"/>
              </w:rPr>
              <w:t>水净化设备产生的污泥</w:t>
            </w:r>
            <w:r>
              <w:rPr>
                <w:rFonts w:hint="eastAsia"/>
                <w:sz w:val="24"/>
              </w:rPr>
              <w:t>及废包装物外售</w:t>
            </w:r>
            <w:r>
              <w:rPr>
                <w:rFonts w:hint="eastAsia" w:ascii="宋体" w:hAnsi="宋体" w:cs="宋体"/>
                <w:sz w:val="24"/>
              </w:rPr>
              <w:t>；危险废物</w:t>
            </w:r>
            <w:r>
              <w:rPr>
                <w:rFonts w:ascii="宋体" w:hAnsi="宋体" w:cs="宋体"/>
                <w:sz w:val="24"/>
              </w:rPr>
              <w:t>主要为废活性炭、废</w:t>
            </w:r>
            <w:r>
              <w:rPr>
                <w:rFonts w:hint="eastAsia" w:ascii="宋体" w:hAnsi="宋体" w:cs="宋体"/>
                <w:sz w:val="24"/>
              </w:rPr>
              <w:t>胶桶</w:t>
            </w:r>
            <w:r>
              <w:rPr>
                <w:rFonts w:hint="eastAsia" w:ascii="宋体" w:hAnsi="宋体"/>
                <w:sz w:val="24"/>
              </w:rPr>
              <w:t>等收集后暂存于危废暂存间，定期交由</w:t>
            </w:r>
            <w:r>
              <w:rPr>
                <w:rFonts w:hint="eastAsia" w:ascii="宋体" w:hAnsi="宋体"/>
                <w:color w:val="000000" w:themeColor="text1"/>
                <w:sz w:val="24"/>
                <w14:textFill>
                  <w14:solidFill>
                    <w14:schemeClr w14:val="tx1"/>
                  </w14:solidFill>
                </w14:textFill>
              </w:rPr>
              <w:t>安徽上峰杰夏环保科技有限责任公司处理,不对外随</w:t>
            </w:r>
            <w:r>
              <w:rPr>
                <w:rFonts w:hint="eastAsia" w:ascii="宋体" w:hAnsi="宋体"/>
                <w:sz w:val="24"/>
              </w:rPr>
              <w:t>意排放,对当地环境基本无影响。</w:t>
            </w:r>
          </w:p>
          <w:p>
            <w:pPr>
              <w:snapToGrid w:val="0"/>
              <w:spacing w:line="480" w:lineRule="exact"/>
              <w:ind w:firstLine="480" w:firstLineChars="200"/>
              <w:rPr>
                <w:rFonts w:ascii="宋体" w:hAnsi="宋体"/>
                <w:sz w:val="24"/>
              </w:rPr>
            </w:pPr>
          </w:p>
          <w:p>
            <w:pPr>
              <w:spacing w:line="360" w:lineRule="auto"/>
              <w:rPr>
                <w:bCs/>
                <w:color w:val="FF0000"/>
                <w:sz w:val="24"/>
              </w:rPr>
            </w:pPr>
            <w:r>
              <w:rPr>
                <w:sz w:val="28"/>
              </w:rPr>
              <mc:AlternateContent>
                <mc:Choice Requires="wps">
                  <w:drawing>
                    <wp:anchor distT="0" distB="0" distL="114300" distR="114300" simplePos="0" relativeHeight="251673600" behindDoc="0" locked="0" layoutInCell="1" allowOverlap="1">
                      <wp:simplePos x="0" y="0"/>
                      <wp:positionH relativeFrom="column">
                        <wp:posOffset>5562600</wp:posOffset>
                      </wp:positionH>
                      <wp:positionV relativeFrom="paragraph">
                        <wp:posOffset>4752975</wp:posOffset>
                      </wp:positionV>
                      <wp:extent cx="1153160" cy="297180"/>
                      <wp:effectExtent l="0" t="0" r="0" b="0"/>
                      <wp:wrapNone/>
                      <wp:docPr id="153" name="矩形 153"/>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b/>
                                      <w:bCs/>
                                      <w:color w:val="FFFFFF"/>
                                      <w:szCs w:val="21"/>
                                    </w:rPr>
                                  </w:pPr>
                                  <w:r>
                                    <w:rPr>
                                      <w:rFonts w:hint="eastAsia"/>
                                      <w:b/>
                                      <w:bCs/>
                                      <w:color w:val="FFFFFF"/>
                                      <w:szCs w:val="21"/>
                                    </w:rPr>
                                    <w:t>无组织点位图</w:t>
                                  </w:r>
                                </w:p>
                              </w:txbxContent>
                            </wps:txbx>
                            <wps:bodyPr upright="1"/>
                          </wps:wsp>
                        </a:graphicData>
                      </a:graphic>
                    </wp:anchor>
                  </w:drawing>
                </mc:Choice>
                <mc:Fallback>
                  <w:pict>
                    <v:rect id="_x0000_s1026" o:spid="_x0000_s1026" o:spt="1" style="position:absolute;left:0pt;margin-left:438pt;margin-top:374.25pt;height:23.4pt;width:90.8pt;z-index:251673600;mso-width-relative:page;mso-height-relative:page;" filled="f" stroked="f" coordsize="21600,21600" o:gfxdata="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Id&#10;SU7dAAAADAEAAA8AAAAAAAAAAQAgAAAAIgAAAGRycy9kb3ducmV2LnhtbFBLAQIUABQAAAAIAIdO&#10;4kB5is+3rAEAAE4DAAAOAAAAAAAAAAEAIAAAACwBAABkcnMvZTJvRG9jLnhtbFBLBQYAAAAABgAG&#10;AFkBAABKBQAAAAA=&#10;">
                      <v:fill on="f" focussize="0,0"/>
                      <v:stroke on="f" weight="0.5pt"/>
                      <v:imagedata o:title=""/>
                      <o:lock v:ext="edit" aspectratio="f"/>
                      <v:textbox>
                        <w:txbxContent>
                          <w:p>
                            <w:pPr>
                              <w:rPr>
                                <w:b/>
                                <w:bCs/>
                                <w:color w:val="FFFFFF"/>
                                <w:szCs w:val="21"/>
                              </w:rPr>
                            </w:pPr>
                            <w:r>
                              <w:rPr>
                                <w:rFonts w:hint="eastAsia"/>
                                <w:b/>
                                <w:bCs/>
                                <w:color w:val="FFFFFF"/>
                                <w:szCs w:val="21"/>
                              </w:rPr>
                              <w:t>无组织点位图</w:t>
                            </w:r>
                          </w:p>
                        </w:txbxContent>
                      </v:textbox>
                    </v:rect>
                  </w:pict>
                </mc:Fallback>
              </mc:AlternateConten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sz w:val="32"/>
          <w:szCs w:val="32"/>
        </w:rPr>
      </w:pPr>
      <w:r>
        <w:rPr>
          <w:rFonts w:hint="eastAsia"/>
          <w:b/>
          <w:bCs/>
          <w:sz w:val="32"/>
          <w:szCs w:val="32"/>
        </w:rPr>
        <w:t>表七</w:t>
      </w:r>
    </w:p>
    <w:tbl>
      <w:tblPr>
        <w:tblStyle w:val="2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1" w:hRule="atLeast"/>
          <w:jc w:val="center"/>
        </w:trPr>
        <w:tc>
          <w:tcPr>
            <w:tcW w:w="8464" w:type="dxa"/>
          </w:tcPr>
          <w:p>
            <w:pPr>
              <w:pStyle w:val="9"/>
              <w:spacing w:line="360" w:lineRule="auto"/>
              <w:jc w:val="both"/>
              <w:rPr>
                <w:rFonts w:ascii="Times New Roman" w:hAnsi="Times New Roman"/>
                <w:b/>
                <w:bCs/>
                <w:sz w:val="28"/>
                <w:szCs w:val="28"/>
              </w:rPr>
            </w:pPr>
            <w:r>
              <w:rPr>
                <w:rFonts w:ascii="Times New Roman" w:hAnsi="Times New Roman"/>
                <w:b/>
                <w:bCs/>
                <w:sz w:val="28"/>
                <w:szCs w:val="28"/>
              </w:rPr>
              <w:t>7.1验收监测期间生产工况记录</w:t>
            </w:r>
          </w:p>
          <w:p>
            <w:pPr>
              <w:spacing w:line="360" w:lineRule="auto"/>
              <w:ind w:firstLine="480" w:firstLineChars="200"/>
              <w:textAlignment w:val="baseline"/>
              <w:rPr>
                <w:sz w:val="24"/>
              </w:rPr>
            </w:pPr>
            <w:r>
              <w:rPr>
                <w:color w:val="000000"/>
                <w:sz w:val="24"/>
              </w:rPr>
              <w:t>受</w:t>
            </w:r>
            <w:r>
              <w:rPr>
                <w:rFonts w:hint="eastAsia"/>
                <w:color w:val="000000"/>
                <w:sz w:val="24"/>
              </w:rPr>
              <w:t>安徽省振兴节能科技</w:t>
            </w:r>
            <w:r>
              <w:rPr>
                <w:color w:val="000000"/>
                <w:sz w:val="24"/>
              </w:rPr>
              <w:t>有限公司</w:t>
            </w:r>
            <w:r>
              <w:rPr>
                <w:kern w:val="0"/>
                <w:sz w:val="24"/>
              </w:rPr>
              <w:t>委托，</w:t>
            </w:r>
            <w:r>
              <w:rPr>
                <w:rFonts w:hint="eastAsia"/>
                <w:kern w:val="0"/>
                <w:sz w:val="24"/>
              </w:rPr>
              <w:t>安徽尚德谱检测技术有限责任公司</w:t>
            </w:r>
            <w:r>
              <w:rPr>
                <w:kern w:val="0"/>
                <w:sz w:val="24"/>
              </w:rPr>
              <w:t>20</w:t>
            </w:r>
            <w:r>
              <w:rPr>
                <w:rFonts w:hint="eastAsia"/>
                <w:kern w:val="0"/>
                <w:sz w:val="24"/>
              </w:rPr>
              <w:t>22</w:t>
            </w:r>
            <w:r>
              <w:rPr>
                <w:kern w:val="0"/>
                <w:sz w:val="24"/>
              </w:rPr>
              <w:t>年</w:t>
            </w:r>
            <w:r>
              <w:rPr>
                <w:rFonts w:hint="eastAsia"/>
                <w:kern w:val="0"/>
                <w:sz w:val="24"/>
              </w:rPr>
              <w:t>2</w:t>
            </w:r>
            <w:r>
              <w:rPr>
                <w:kern w:val="0"/>
                <w:sz w:val="24"/>
              </w:rPr>
              <w:t>月</w:t>
            </w:r>
            <w:r>
              <w:rPr>
                <w:rFonts w:hint="eastAsia"/>
                <w:kern w:val="0"/>
                <w:sz w:val="24"/>
                <w:lang w:val="en-US" w:eastAsia="zh-CN"/>
              </w:rPr>
              <w:t>9</w:t>
            </w:r>
            <w:r>
              <w:rPr>
                <w:kern w:val="0"/>
                <w:sz w:val="24"/>
              </w:rPr>
              <w:t>～</w:t>
            </w:r>
            <w:r>
              <w:rPr>
                <w:rFonts w:hint="eastAsia"/>
                <w:kern w:val="0"/>
                <w:sz w:val="24"/>
              </w:rPr>
              <w:t>2</w:t>
            </w:r>
            <w:r>
              <w:rPr>
                <w:kern w:val="0"/>
                <w:sz w:val="24"/>
              </w:rPr>
              <w:t>月</w:t>
            </w:r>
            <w:r>
              <w:rPr>
                <w:rFonts w:hint="eastAsia"/>
                <w:kern w:val="0"/>
                <w:sz w:val="24"/>
                <w:lang w:val="en-US" w:eastAsia="zh-CN"/>
              </w:rPr>
              <w:t>10</w:t>
            </w:r>
            <w:r>
              <w:rPr>
                <w:kern w:val="0"/>
                <w:sz w:val="24"/>
              </w:rPr>
              <w:t>日</w:t>
            </w:r>
            <w:r>
              <w:rPr>
                <w:sz w:val="24"/>
              </w:rPr>
              <w:t>对</w:t>
            </w:r>
            <w:r>
              <w:rPr>
                <w:rFonts w:hint="eastAsia"/>
                <w:sz w:val="24"/>
              </w:rPr>
              <w:t>安徽省振兴节能科技</w:t>
            </w:r>
            <w:r>
              <w:rPr>
                <w:sz w:val="24"/>
              </w:rPr>
              <w:t>有限公司</w:t>
            </w:r>
            <w:r>
              <w:rPr>
                <w:rFonts w:hint="eastAsia"/>
                <w:sz w:val="24"/>
              </w:rPr>
              <w:t>玻璃深加工</w:t>
            </w:r>
            <w:r>
              <w:rPr>
                <w:rFonts w:hint="eastAsia"/>
                <w:sz w:val="24"/>
                <w:lang w:val="zh-CN"/>
              </w:rPr>
              <w:t>项</w:t>
            </w:r>
            <w:r>
              <w:rPr>
                <w:rFonts w:hint="eastAsia"/>
                <w:sz w:val="24"/>
              </w:rPr>
              <w:t>目</w:t>
            </w:r>
            <w:r>
              <w:rPr>
                <w:sz w:val="24"/>
              </w:rPr>
              <w:t>进行验</w:t>
            </w:r>
            <w:r>
              <w:rPr>
                <w:rFonts w:hint="eastAsia"/>
                <w:sz w:val="24"/>
              </w:rPr>
              <w:t>收</w:t>
            </w:r>
            <w:r>
              <w:rPr>
                <w:sz w:val="24"/>
              </w:rPr>
              <w:t>检测</w:t>
            </w:r>
            <w:r>
              <w:rPr>
                <w:color w:val="000000"/>
                <w:sz w:val="24"/>
              </w:rPr>
              <w:t>。现场有</w:t>
            </w:r>
            <w:r>
              <w:rPr>
                <w:rFonts w:hint="eastAsia"/>
                <w:kern w:val="0"/>
                <w:sz w:val="24"/>
              </w:rPr>
              <w:t>安徽尚德谱检测技术有限责任公司</w:t>
            </w:r>
            <w:r>
              <w:rPr>
                <w:color w:val="000000"/>
                <w:kern w:val="0"/>
                <w:sz w:val="24"/>
              </w:rPr>
              <w:t>负责现场监测的技术人员和企业相关人员。</w:t>
            </w:r>
            <w:r>
              <w:rPr>
                <w:color w:val="000000"/>
                <w:sz w:val="24"/>
              </w:rPr>
              <w:t>当生产负荷达到验收检测要求时，方可进入现场进行检测，以保证检测数据的有</w:t>
            </w:r>
            <w:r>
              <w:rPr>
                <w:sz w:val="24"/>
              </w:rPr>
              <w:t>效性。</w:t>
            </w:r>
            <w:r>
              <w:rPr>
                <w:rFonts w:hint="eastAsia"/>
                <w:sz w:val="24"/>
              </w:rPr>
              <w:t>2</w:t>
            </w:r>
            <w:r>
              <w:rPr>
                <w:kern w:val="0"/>
                <w:sz w:val="24"/>
              </w:rPr>
              <w:t>月</w:t>
            </w:r>
            <w:r>
              <w:rPr>
                <w:rFonts w:hint="eastAsia"/>
                <w:kern w:val="0"/>
                <w:sz w:val="24"/>
                <w:lang w:val="en-US" w:eastAsia="zh-CN"/>
              </w:rPr>
              <w:t>9</w:t>
            </w:r>
            <w:r>
              <w:rPr>
                <w:kern w:val="0"/>
                <w:sz w:val="24"/>
              </w:rPr>
              <w:t>日和</w:t>
            </w:r>
            <w:r>
              <w:rPr>
                <w:rFonts w:hint="eastAsia"/>
                <w:kern w:val="0"/>
                <w:sz w:val="24"/>
              </w:rPr>
              <w:t>2</w:t>
            </w:r>
            <w:r>
              <w:rPr>
                <w:kern w:val="0"/>
                <w:sz w:val="24"/>
              </w:rPr>
              <w:t>月</w:t>
            </w:r>
            <w:r>
              <w:rPr>
                <w:rFonts w:hint="eastAsia"/>
                <w:kern w:val="0"/>
                <w:sz w:val="24"/>
                <w:lang w:val="en-US" w:eastAsia="zh-CN"/>
              </w:rPr>
              <w:t>10</w:t>
            </w:r>
            <w:r>
              <w:rPr>
                <w:kern w:val="0"/>
                <w:sz w:val="24"/>
              </w:rPr>
              <w:t>日，</w:t>
            </w:r>
            <w:r>
              <w:rPr>
                <w:sz w:val="24"/>
              </w:rPr>
              <w:t>公司正常生产，各项环保设施运行正常，达到验收检测要求。</w:t>
            </w:r>
          </w:p>
          <w:p>
            <w:pPr>
              <w:pStyle w:val="12"/>
              <w:spacing w:after="0" w:line="360" w:lineRule="auto"/>
              <w:ind w:left="0" w:leftChars="0" w:firstLine="422"/>
              <w:jc w:val="center"/>
              <w:rPr>
                <w:b/>
                <w:color w:val="auto"/>
                <w:szCs w:val="21"/>
              </w:rPr>
            </w:pPr>
            <w:r>
              <w:rPr>
                <w:rFonts w:hint="eastAsia"/>
                <w:b/>
                <w:color w:val="auto"/>
                <w:szCs w:val="21"/>
              </w:rPr>
              <w:t>表7-1 企业验收监测期间生产负荷</w:t>
            </w:r>
          </w:p>
          <w:tbl>
            <w:tblPr>
              <w:tblStyle w:val="23"/>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827"/>
              <w:gridCol w:w="2174"/>
              <w:gridCol w:w="1626"/>
              <w:gridCol w:w="1300"/>
              <w:gridCol w:w="9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47" w:hRule="exact"/>
                <w:jc w:val="center"/>
              </w:trPr>
              <w:tc>
                <w:tcPr>
                  <w:tcW w:w="1197" w:type="dxa"/>
                  <w:vAlign w:val="center"/>
                </w:tcPr>
                <w:p>
                  <w:pPr>
                    <w:jc w:val="center"/>
                    <w:rPr>
                      <w:bCs/>
                      <w:color w:val="auto"/>
                      <w:szCs w:val="21"/>
                    </w:rPr>
                  </w:pPr>
                  <w:r>
                    <w:rPr>
                      <w:bCs/>
                      <w:color w:val="auto"/>
                      <w:szCs w:val="21"/>
                    </w:rPr>
                    <w:t>日期</w:t>
                  </w:r>
                </w:p>
              </w:tc>
              <w:tc>
                <w:tcPr>
                  <w:tcW w:w="1827" w:type="dxa"/>
                  <w:vAlign w:val="center"/>
                </w:tcPr>
                <w:p>
                  <w:pPr>
                    <w:jc w:val="center"/>
                    <w:rPr>
                      <w:bCs/>
                      <w:color w:val="auto"/>
                      <w:szCs w:val="21"/>
                    </w:rPr>
                  </w:pPr>
                  <w:r>
                    <w:rPr>
                      <w:bCs/>
                      <w:color w:val="auto"/>
                      <w:szCs w:val="21"/>
                    </w:rPr>
                    <w:t>产品名称</w:t>
                  </w:r>
                </w:p>
              </w:tc>
              <w:tc>
                <w:tcPr>
                  <w:tcW w:w="2174" w:type="dxa"/>
                  <w:vAlign w:val="center"/>
                </w:tcPr>
                <w:p>
                  <w:pPr>
                    <w:jc w:val="center"/>
                    <w:rPr>
                      <w:bCs/>
                      <w:color w:val="auto"/>
                      <w:szCs w:val="21"/>
                    </w:rPr>
                  </w:pPr>
                  <w:r>
                    <w:rPr>
                      <w:bCs/>
                      <w:color w:val="auto"/>
                      <w:szCs w:val="21"/>
                    </w:rPr>
                    <w:t>设计</w:t>
                  </w:r>
                  <w:r>
                    <w:rPr>
                      <w:rFonts w:hint="eastAsia"/>
                      <w:bCs/>
                      <w:color w:val="auto"/>
                      <w:szCs w:val="21"/>
                    </w:rPr>
                    <w:t>产量</w:t>
                  </w:r>
                </w:p>
              </w:tc>
              <w:tc>
                <w:tcPr>
                  <w:tcW w:w="1626" w:type="dxa"/>
                  <w:vAlign w:val="center"/>
                </w:tcPr>
                <w:p>
                  <w:pPr>
                    <w:jc w:val="center"/>
                    <w:rPr>
                      <w:bCs/>
                      <w:color w:val="auto"/>
                      <w:szCs w:val="21"/>
                    </w:rPr>
                  </w:pPr>
                  <w:r>
                    <w:rPr>
                      <w:bCs/>
                      <w:color w:val="auto"/>
                      <w:szCs w:val="21"/>
                    </w:rPr>
                    <w:t>实际</w:t>
                  </w:r>
                  <w:r>
                    <w:rPr>
                      <w:rFonts w:hint="eastAsia"/>
                      <w:bCs/>
                      <w:color w:val="auto"/>
                      <w:szCs w:val="21"/>
                    </w:rPr>
                    <w:t>产</w:t>
                  </w:r>
                  <w:r>
                    <w:rPr>
                      <w:bCs/>
                      <w:color w:val="auto"/>
                      <w:szCs w:val="21"/>
                    </w:rPr>
                    <w:t>量</w:t>
                  </w:r>
                </w:p>
              </w:tc>
              <w:tc>
                <w:tcPr>
                  <w:tcW w:w="1300" w:type="dxa"/>
                  <w:vAlign w:val="center"/>
                </w:tcPr>
                <w:p>
                  <w:pPr>
                    <w:jc w:val="center"/>
                    <w:rPr>
                      <w:bCs/>
                      <w:color w:val="auto"/>
                      <w:szCs w:val="21"/>
                    </w:rPr>
                  </w:pPr>
                  <w:r>
                    <w:rPr>
                      <w:bCs/>
                      <w:color w:val="auto"/>
                      <w:szCs w:val="21"/>
                    </w:rPr>
                    <w:t>单位</w:t>
                  </w:r>
                </w:p>
              </w:tc>
              <w:tc>
                <w:tcPr>
                  <w:tcW w:w="947" w:type="dxa"/>
                  <w:vAlign w:val="center"/>
                </w:tcPr>
                <w:p>
                  <w:pPr>
                    <w:jc w:val="center"/>
                    <w:rPr>
                      <w:bCs/>
                      <w:color w:val="auto"/>
                      <w:szCs w:val="21"/>
                    </w:rPr>
                  </w:pPr>
                  <w:r>
                    <w:rPr>
                      <w:bCs/>
                      <w:color w:val="auto"/>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97" w:type="dxa"/>
                  <w:vMerge w:val="restart"/>
                  <w:vAlign w:val="center"/>
                </w:tcPr>
                <w:p>
                  <w:pPr>
                    <w:jc w:val="center"/>
                    <w:rPr>
                      <w:rFonts w:hint="eastAsia" w:eastAsia="宋体"/>
                      <w:bCs/>
                      <w:color w:val="auto"/>
                      <w:szCs w:val="21"/>
                      <w:lang w:val="en-US" w:eastAsia="zh-CN"/>
                    </w:rPr>
                  </w:pPr>
                  <w:r>
                    <w:rPr>
                      <w:color w:val="auto"/>
                      <w:szCs w:val="21"/>
                    </w:rPr>
                    <w:t>20</w:t>
                  </w:r>
                  <w:r>
                    <w:rPr>
                      <w:rFonts w:hint="eastAsia"/>
                      <w:color w:val="auto"/>
                      <w:szCs w:val="21"/>
                    </w:rPr>
                    <w:t>22.2.</w:t>
                  </w:r>
                  <w:r>
                    <w:rPr>
                      <w:rFonts w:hint="eastAsia"/>
                      <w:color w:val="auto"/>
                      <w:szCs w:val="21"/>
                      <w:lang w:val="en-US" w:eastAsia="zh-CN"/>
                    </w:rPr>
                    <w:t>9</w:t>
                  </w:r>
                </w:p>
              </w:tc>
              <w:tc>
                <w:tcPr>
                  <w:tcW w:w="1827" w:type="dxa"/>
                  <w:vAlign w:val="center"/>
                </w:tcPr>
                <w:p>
                  <w:pPr>
                    <w:jc w:val="center"/>
                    <w:rPr>
                      <w:rFonts w:hint="eastAsia"/>
                      <w:bCs/>
                      <w:color w:val="auto"/>
                      <w:szCs w:val="21"/>
                      <w:lang w:eastAsia="zh-CN"/>
                    </w:rPr>
                  </w:pPr>
                  <w:r>
                    <w:rPr>
                      <w:rFonts w:hint="eastAsia"/>
                      <w:bCs/>
                      <w:color w:val="auto"/>
                      <w:szCs w:val="21"/>
                      <w:lang w:eastAsia="zh-CN"/>
                    </w:rPr>
                    <w:t>钢化玻璃</w:t>
                  </w:r>
                </w:p>
              </w:tc>
              <w:tc>
                <w:tcPr>
                  <w:tcW w:w="2174" w:type="dxa"/>
                  <w:vAlign w:val="center"/>
                </w:tcPr>
                <w:p>
                  <w:pPr>
                    <w:adjustRightInd w:val="0"/>
                    <w:snapToGrid w:val="0"/>
                    <w:jc w:val="center"/>
                    <w:rPr>
                      <w:color w:val="auto"/>
                      <w:szCs w:val="21"/>
                    </w:rPr>
                  </w:pPr>
                  <w:r>
                    <w:rPr>
                      <w:rFonts w:hint="eastAsia"/>
                      <w:snapToGrid w:val="0"/>
                      <w:color w:val="auto"/>
                      <w:kern w:val="0"/>
                      <w:lang w:val="en-US" w:eastAsia="zh-CN"/>
                    </w:rPr>
                    <w:t>750000</w:t>
                  </w:r>
                  <w:r>
                    <w:rPr>
                      <w:rFonts w:hint="eastAsia"/>
                      <w:snapToGrid w:val="0"/>
                      <w:color w:val="auto"/>
                      <w:kern w:val="0"/>
                    </w:rPr>
                    <w:t>/300</w:t>
                  </w:r>
                </w:p>
              </w:tc>
              <w:tc>
                <w:tcPr>
                  <w:tcW w:w="1626" w:type="dxa"/>
                  <w:vAlign w:val="center"/>
                </w:tcPr>
                <w:p>
                  <w:pPr>
                    <w:jc w:val="center"/>
                    <w:rPr>
                      <w:rFonts w:hint="default" w:eastAsia="宋体"/>
                      <w:color w:val="auto"/>
                      <w:szCs w:val="21"/>
                      <w:lang w:val="en-US" w:eastAsia="zh-CN"/>
                    </w:rPr>
                  </w:pPr>
                  <w:r>
                    <w:rPr>
                      <w:rFonts w:hint="eastAsia"/>
                      <w:color w:val="auto"/>
                      <w:szCs w:val="21"/>
                      <w:lang w:val="en-US" w:eastAsia="zh-CN"/>
                    </w:rPr>
                    <w:t>2085</w:t>
                  </w:r>
                </w:p>
              </w:tc>
              <w:tc>
                <w:tcPr>
                  <w:tcW w:w="1300" w:type="dxa"/>
                  <w:vAlign w:val="center"/>
                </w:tcPr>
                <w:p>
                  <w:pPr>
                    <w:jc w:val="center"/>
                    <w:rPr>
                      <w:color w:val="auto"/>
                      <w:szCs w:val="21"/>
                    </w:rPr>
                  </w:pPr>
                  <w:r>
                    <w:rPr>
                      <w:rFonts w:hint="eastAsia"/>
                      <w:color w:val="auto"/>
                      <w:szCs w:val="21"/>
                    </w:rPr>
                    <w:t>平方米</w:t>
                  </w:r>
                </w:p>
              </w:tc>
              <w:tc>
                <w:tcPr>
                  <w:tcW w:w="947" w:type="dxa"/>
                  <w:vAlign w:val="center"/>
                </w:tcPr>
                <w:p>
                  <w:pPr>
                    <w:jc w:val="center"/>
                    <w:rPr>
                      <w:color w:val="auto"/>
                      <w:szCs w:val="21"/>
                    </w:rPr>
                  </w:pPr>
                  <w:r>
                    <w:rPr>
                      <w:rFonts w:hint="eastAsia"/>
                      <w:color w:val="auto"/>
                      <w:szCs w:val="21"/>
                    </w:rPr>
                    <w:t>83.4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97" w:type="dxa"/>
                  <w:vMerge w:val="continue"/>
                  <w:vAlign w:val="center"/>
                </w:tcPr>
                <w:p>
                  <w:pPr>
                    <w:jc w:val="center"/>
                    <w:rPr>
                      <w:color w:val="auto"/>
                    </w:rPr>
                  </w:pPr>
                </w:p>
              </w:tc>
              <w:tc>
                <w:tcPr>
                  <w:tcW w:w="1827" w:type="dxa"/>
                  <w:vAlign w:val="center"/>
                </w:tcPr>
                <w:p>
                  <w:pPr>
                    <w:jc w:val="center"/>
                    <w:rPr>
                      <w:rFonts w:hint="eastAsia"/>
                      <w:bCs/>
                      <w:color w:val="auto"/>
                      <w:szCs w:val="21"/>
                      <w:lang w:eastAsia="zh-CN"/>
                    </w:rPr>
                  </w:pPr>
                  <w:r>
                    <w:rPr>
                      <w:rFonts w:hint="eastAsia"/>
                      <w:bCs/>
                      <w:color w:val="auto"/>
                      <w:szCs w:val="21"/>
                      <w:lang w:eastAsia="zh-CN"/>
                    </w:rPr>
                    <w:t>节能中空玻璃</w:t>
                  </w:r>
                </w:p>
              </w:tc>
              <w:tc>
                <w:tcPr>
                  <w:tcW w:w="2174" w:type="dxa"/>
                  <w:vAlign w:val="center"/>
                </w:tcPr>
                <w:p>
                  <w:pPr>
                    <w:jc w:val="center"/>
                    <w:rPr>
                      <w:rFonts w:hint="default" w:eastAsia="宋体"/>
                      <w:bCs/>
                      <w:color w:val="auto"/>
                      <w:szCs w:val="21"/>
                      <w:lang w:val="en-US" w:eastAsia="zh-CN"/>
                    </w:rPr>
                  </w:pPr>
                  <w:r>
                    <w:rPr>
                      <w:rFonts w:hint="eastAsia"/>
                      <w:bCs/>
                      <w:color w:val="auto"/>
                      <w:szCs w:val="21"/>
                      <w:lang w:val="en-US" w:eastAsia="zh-CN"/>
                    </w:rPr>
                    <w:t>500000/300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1450</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9"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lang w:eastAsia="zh-CN"/>
                    </w:rPr>
                  </w:pPr>
                  <w:r>
                    <w:rPr>
                      <w:rFonts w:hint="eastAsia"/>
                      <w:bCs/>
                      <w:color w:val="auto"/>
                      <w:szCs w:val="21"/>
                      <w:lang w:eastAsia="zh-CN"/>
                    </w:rPr>
                    <w:t>内置百叶玻璃</w:t>
                  </w:r>
                </w:p>
              </w:tc>
              <w:tc>
                <w:tcPr>
                  <w:tcW w:w="2174" w:type="dxa"/>
                  <w:vAlign w:val="center"/>
                </w:tcPr>
                <w:p>
                  <w:pPr>
                    <w:jc w:val="center"/>
                    <w:rPr>
                      <w:rFonts w:hint="default" w:eastAsia="宋体"/>
                      <w:bCs/>
                      <w:color w:val="auto"/>
                      <w:szCs w:val="21"/>
                      <w:lang w:val="en-US" w:eastAsia="zh-CN"/>
                    </w:rPr>
                  </w:pPr>
                  <w:r>
                    <w:rPr>
                      <w:rFonts w:hint="eastAsia"/>
                      <w:bCs/>
                      <w:color w:val="auto"/>
                      <w:szCs w:val="21"/>
                      <w:lang w:val="en-US" w:eastAsia="zh-CN"/>
                    </w:rPr>
                    <w:t>125000/300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351</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9"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lang w:eastAsia="zh-CN"/>
                    </w:rPr>
                  </w:pPr>
                  <w:r>
                    <w:rPr>
                      <w:rFonts w:hint="eastAsia"/>
                      <w:bCs/>
                      <w:color w:val="auto"/>
                      <w:szCs w:val="21"/>
                      <w:lang w:eastAsia="zh-CN"/>
                    </w:rPr>
                    <w:t>夹层玻璃</w:t>
                  </w:r>
                </w:p>
              </w:tc>
              <w:tc>
                <w:tcPr>
                  <w:tcW w:w="2174" w:type="dxa"/>
                  <w:vAlign w:val="center"/>
                </w:tcPr>
                <w:p>
                  <w:pPr>
                    <w:jc w:val="center"/>
                    <w:rPr>
                      <w:rFonts w:hint="default" w:eastAsia="宋体"/>
                      <w:bCs/>
                      <w:color w:val="auto"/>
                      <w:szCs w:val="21"/>
                      <w:lang w:val="en-US" w:eastAsia="zh-CN"/>
                    </w:rPr>
                  </w:pPr>
                  <w:r>
                    <w:rPr>
                      <w:rFonts w:hint="eastAsia"/>
                      <w:bCs/>
                      <w:color w:val="auto"/>
                      <w:szCs w:val="21"/>
                      <w:lang w:val="en-US" w:eastAsia="zh-CN"/>
                    </w:rPr>
                    <w:t>100000/300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283</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9"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lang w:eastAsia="zh-CN"/>
                    </w:rPr>
                  </w:pPr>
                  <w:r>
                    <w:rPr>
                      <w:rFonts w:hint="eastAsia"/>
                      <w:bCs/>
                      <w:color w:val="auto"/>
                      <w:szCs w:val="21"/>
                      <w:lang w:eastAsia="zh-CN"/>
                    </w:rPr>
                    <w:t>百叶系统</w:t>
                  </w:r>
                </w:p>
              </w:tc>
              <w:tc>
                <w:tcPr>
                  <w:tcW w:w="2174" w:type="dxa"/>
                  <w:vAlign w:val="center"/>
                </w:tcPr>
                <w:p>
                  <w:pPr>
                    <w:jc w:val="center"/>
                    <w:rPr>
                      <w:rFonts w:hint="default" w:eastAsia="宋体"/>
                      <w:bCs/>
                      <w:color w:val="auto"/>
                      <w:szCs w:val="21"/>
                      <w:lang w:val="en-US" w:eastAsia="zh-CN"/>
                    </w:rPr>
                  </w:pPr>
                  <w:r>
                    <w:rPr>
                      <w:rFonts w:hint="eastAsia"/>
                      <w:bCs/>
                      <w:color w:val="auto"/>
                      <w:szCs w:val="21"/>
                      <w:lang w:val="en-US" w:eastAsia="zh-CN"/>
                    </w:rPr>
                    <w:t>62500/300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185</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7" w:hRule="atLeast"/>
                <w:jc w:val="center"/>
              </w:trPr>
              <w:tc>
                <w:tcPr>
                  <w:tcW w:w="1197" w:type="dxa"/>
                  <w:vMerge w:val="restart"/>
                  <w:vAlign w:val="center"/>
                </w:tcPr>
                <w:p>
                  <w:pPr>
                    <w:jc w:val="center"/>
                    <w:rPr>
                      <w:rFonts w:hint="eastAsia" w:eastAsia="宋体"/>
                      <w:color w:val="auto"/>
                      <w:szCs w:val="21"/>
                      <w:lang w:val="en-US" w:eastAsia="zh-CN"/>
                    </w:rPr>
                  </w:pPr>
                  <w:r>
                    <w:rPr>
                      <w:color w:val="auto"/>
                      <w:szCs w:val="21"/>
                    </w:rPr>
                    <w:t>20</w:t>
                  </w:r>
                  <w:r>
                    <w:rPr>
                      <w:rFonts w:hint="eastAsia"/>
                      <w:color w:val="auto"/>
                      <w:szCs w:val="21"/>
                    </w:rPr>
                    <w:t>22.2.1</w:t>
                  </w:r>
                  <w:r>
                    <w:rPr>
                      <w:rFonts w:hint="eastAsia"/>
                      <w:color w:val="auto"/>
                      <w:szCs w:val="21"/>
                      <w:lang w:val="en-US" w:eastAsia="zh-CN"/>
                    </w:rPr>
                    <w:t>0</w:t>
                  </w:r>
                </w:p>
              </w:tc>
              <w:tc>
                <w:tcPr>
                  <w:tcW w:w="1827" w:type="dxa"/>
                  <w:vAlign w:val="center"/>
                </w:tcPr>
                <w:p>
                  <w:pPr>
                    <w:jc w:val="center"/>
                    <w:rPr>
                      <w:bCs/>
                      <w:color w:val="auto"/>
                      <w:szCs w:val="21"/>
                    </w:rPr>
                  </w:pPr>
                  <w:r>
                    <w:rPr>
                      <w:rFonts w:hint="eastAsia"/>
                      <w:bCs/>
                      <w:color w:val="auto"/>
                      <w:szCs w:val="21"/>
                      <w:lang w:eastAsia="zh-CN"/>
                    </w:rPr>
                    <w:t>钢化玻璃</w:t>
                  </w:r>
                </w:p>
              </w:tc>
              <w:tc>
                <w:tcPr>
                  <w:tcW w:w="2174" w:type="dxa"/>
                  <w:vAlign w:val="center"/>
                </w:tcPr>
                <w:p>
                  <w:pPr>
                    <w:adjustRightInd w:val="0"/>
                    <w:snapToGrid w:val="0"/>
                    <w:jc w:val="center"/>
                    <w:rPr>
                      <w:color w:val="auto"/>
                      <w:szCs w:val="21"/>
                    </w:rPr>
                  </w:pPr>
                  <w:r>
                    <w:rPr>
                      <w:rFonts w:hint="eastAsia"/>
                      <w:snapToGrid w:val="0"/>
                      <w:color w:val="auto"/>
                      <w:kern w:val="0"/>
                      <w:lang w:val="en-US" w:eastAsia="zh-CN"/>
                    </w:rPr>
                    <w:t>750000</w:t>
                  </w:r>
                  <w:r>
                    <w:rPr>
                      <w:rFonts w:hint="eastAsia"/>
                      <w:snapToGrid w:val="0"/>
                      <w:color w:val="auto"/>
                      <w:kern w:val="0"/>
                    </w:rPr>
                    <w:t>/300</w:t>
                  </w:r>
                </w:p>
              </w:tc>
              <w:tc>
                <w:tcPr>
                  <w:tcW w:w="1626" w:type="dxa"/>
                  <w:vAlign w:val="center"/>
                </w:tcPr>
                <w:p>
                  <w:pPr>
                    <w:jc w:val="center"/>
                    <w:rPr>
                      <w:rFonts w:hint="default" w:eastAsia="宋体"/>
                      <w:color w:val="auto"/>
                      <w:szCs w:val="21"/>
                      <w:lang w:val="en-US" w:eastAsia="zh-CN"/>
                    </w:rPr>
                  </w:pPr>
                  <w:r>
                    <w:rPr>
                      <w:rFonts w:hint="eastAsia"/>
                      <w:color w:val="auto"/>
                      <w:szCs w:val="21"/>
                      <w:lang w:val="en-US" w:eastAsia="zh-CN"/>
                    </w:rPr>
                    <w:t>2092</w:t>
                  </w:r>
                </w:p>
              </w:tc>
              <w:tc>
                <w:tcPr>
                  <w:tcW w:w="1300" w:type="dxa"/>
                  <w:vAlign w:val="center"/>
                </w:tcPr>
                <w:p>
                  <w:pPr>
                    <w:jc w:val="center"/>
                    <w:rPr>
                      <w:color w:val="auto"/>
                      <w:szCs w:val="21"/>
                    </w:rPr>
                  </w:pPr>
                  <w:r>
                    <w:rPr>
                      <w:rFonts w:hint="eastAsia"/>
                      <w:color w:val="auto"/>
                      <w:szCs w:val="21"/>
                    </w:rPr>
                    <w:t>平方米</w:t>
                  </w:r>
                </w:p>
              </w:tc>
              <w:tc>
                <w:tcPr>
                  <w:tcW w:w="947" w:type="dxa"/>
                  <w:vAlign w:val="center"/>
                </w:tcPr>
                <w:p>
                  <w:pPr>
                    <w:jc w:val="center"/>
                    <w:rPr>
                      <w:rFonts w:hint="default" w:eastAsia="宋体"/>
                      <w:color w:val="auto"/>
                      <w:szCs w:val="21"/>
                      <w:lang w:val="en-US" w:eastAsia="zh-CN"/>
                    </w:rPr>
                  </w:pPr>
                  <w:r>
                    <w:rPr>
                      <w:rFonts w:hint="eastAsia"/>
                      <w:color w:val="auto"/>
                      <w:szCs w:val="21"/>
                      <w:lang w:val="en-US" w:eastAsia="zh-CN"/>
                    </w:rPr>
                    <w:t>83.7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7" w:hRule="atLeast"/>
                <w:jc w:val="center"/>
              </w:trPr>
              <w:tc>
                <w:tcPr>
                  <w:tcW w:w="1197" w:type="dxa"/>
                  <w:vMerge w:val="continue"/>
                  <w:vAlign w:val="center"/>
                </w:tcPr>
                <w:p>
                  <w:pPr>
                    <w:jc w:val="center"/>
                    <w:rPr>
                      <w:color w:val="auto"/>
                    </w:rPr>
                  </w:pPr>
                </w:p>
              </w:tc>
              <w:tc>
                <w:tcPr>
                  <w:tcW w:w="1827" w:type="dxa"/>
                  <w:vAlign w:val="center"/>
                </w:tcPr>
                <w:p>
                  <w:pPr>
                    <w:jc w:val="center"/>
                    <w:rPr>
                      <w:rFonts w:hint="eastAsia"/>
                      <w:bCs/>
                      <w:color w:val="auto"/>
                      <w:szCs w:val="21"/>
                    </w:rPr>
                  </w:pPr>
                  <w:r>
                    <w:rPr>
                      <w:rFonts w:hint="eastAsia"/>
                      <w:bCs/>
                      <w:color w:val="auto"/>
                      <w:szCs w:val="21"/>
                      <w:lang w:eastAsia="zh-CN"/>
                    </w:rPr>
                    <w:t>节能中空玻璃</w:t>
                  </w:r>
                </w:p>
              </w:tc>
              <w:tc>
                <w:tcPr>
                  <w:tcW w:w="2174" w:type="dxa"/>
                  <w:vAlign w:val="center"/>
                </w:tcPr>
                <w:p>
                  <w:pPr>
                    <w:jc w:val="center"/>
                    <w:rPr>
                      <w:rFonts w:hint="eastAsia"/>
                      <w:bCs/>
                      <w:color w:val="auto"/>
                      <w:szCs w:val="21"/>
                    </w:rPr>
                  </w:pPr>
                  <w:r>
                    <w:rPr>
                      <w:rFonts w:hint="eastAsia"/>
                      <w:bCs/>
                      <w:color w:val="auto"/>
                      <w:szCs w:val="21"/>
                      <w:lang w:val="en-US" w:eastAsia="zh-CN"/>
                    </w:rPr>
                    <w:t>500000/300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1442</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7"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rPr>
                  </w:pPr>
                  <w:r>
                    <w:rPr>
                      <w:rFonts w:hint="eastAsia"/>
                      <w:bCs/>
                      <w:color w:val="auto"/>
                      <w:szCs w:val="21"/>
                      <w:lang w:eastAsia="zh-CN"/>
                    </w:rPr>
                    <w:t>内置百叶玻璃</w:t>
                  </w:r>
                </w:p>
              </w:tc>
              <w:tc>
                <w:tcPr>
                  <w:tcW w:w="2174" w:type="dxa"/>
                  <w:vAlign w:val="center"/>
                </w:tcPr>
                <w:p>
                  <w:pPr>
                    <w:jc w:val="center"/>
                    <w:rPr>
                      <w:rFonts w:hint="eastAsia"/>
                      <w:bCs/>
                      <w:color w:val="auto"/>
                      <w:szCs w:val="21"/>
                    </w:rPr>
                  </w:pPr>
                  <w:r>
                    <w:rPr>
                      <w:rFonts w:hint="eastAsia"/>
                      <w:bCs/>
                      <w:color w:val="auto"/>
                      <w:szCs w:val="21"/>
                      <w:lang w:val="en-US" w:eastAsia="zh-CN"/>
                    </w:rPr>
                    <w:t>125000/300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368</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7"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rPr>
                  </w:pPr>
                  <w:r>
                    <w:rPr>
                      <w:rFonts w:hint="eastAsia"/>
                      <w:bCs/>
                      <w:color w:val="auto"/>
                      <w:szCs w:val="21"/>
                      <w:lang w:eastAsia="zh-CN"/>
                    </w:rPr>
                    <w:t>夹层玻璃</w:t>
                  </w:r>
                </w:p>
              </w:tc>
              <w:tc>
                <w:tcPr>
                  <w:tcW w:w="2174" w:type="dxa"/>
                  <w:vAlign w:val="center"/>
                </w:tcPr>
                <w:p>
                  <w:pPr>
                    <w:jc w:val="center"/>
                    <w:rPr>
                      <w:rFonts w:hint="eastAsia"/>
                      <w:bCs/>
                      <w:color w:val="auto"/>
                      <w:szCs w:val="21"/>
                    </w:rPr>
                  </w:pPr>
                  <w:r>
                    <w:rPr>
                      <w:rFonts w:hint="eastAsia"/>
                      <w:bCs/>
                      <w:color w:val="auto"/>
                      <w:szCs w:val="21"/>
                      <w:lang w:val="en-US" w:eastAsia="zh-CN"/>
                    </w:rPr>
                    <w:t>100000/300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292</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7" w:hRule="atLeast"/>
                <w:jc w:val="center"/>
              </w:trPr>
              <w:tc>
                <w:tcPr>
                  <w:tcW w:w="1197" w:type="dxa"/>
                  <w:vMerge w:val="continue"/>
                  <w:vAlign w:val="center"/>
                </w:tcPr>
                <w:p>
                  <w:pPr>
                    <w:jc w:val="center"/>
                    <w:rPr>
                      <w:rFonts w:hint="eastAsia"/>
                      <w:bCs/>
                      <w:color w:val="auto"/>
                      <w:szCs w:val="21"/>
                    </w:rPr>
                  </w:pPr>
                </w:p>
              </w:tc>
              <w:tc>
                <w:tcPr>
                  <w:tcW w:w="1827" w:type="dxa"/>
                  <w:vAlign w:val="center"/>
                </w:tcPr>
                <w:p>
                  <w:pPr>
                    <w:jc w:val="center"/>
                    <w:rPr>
                      <w:rFonts w:hint="eastAsia"/>
                      <w:bCs/>
                      <w:color w:val="auto"/>
                      <w:szCs w:val="21"/>
                    </w:rPr>
                  </w:pPr>
                  <w:r>
                    <w:rPr>
                      <w:rFonts w:hint="eastAsia"/>
                      <w:bCs/>
                      <w:color w:val="auto"/>
                      <w:szCs w:val="21"/>
                      <w:lang w:eastAsia="zh-CN"/>
                    </w:rPr>
                    <w:t>百叶系统</w:t>
                  </w:r>
                </w:p>
              </w:tc>
              <w:tc>
                <w:tcPr>
                  <w:tcW w:w="2174" w:type="dxa"/>
                  <w:vAlign w:val="center"/>
                </w:tcPr>
                <w:p>
                  <w:pPr>
                    <w:jc w:val="center"/>
                    <w:rPr>
                      <w:rFonts w:hint="eastAsia"/>
                      <w:bCs/>
                      <w:color w:val="auto"/>
                      <w:szCs w:val="21"/>
                    </w:rPr>
                  </w:pPr>
                  <w:r>
                    <w:rPr>
                      <w:rFonts w:hint="eastAsia"/>
                      <w:bCs/>
                      <w:color w:val="auto"/>
                      <w:szCs w:val="21"/>
                      <w:lang w:val="en-US" w:eastAsia="zh-CN"/>
                    </w:rPr>
                    <w:t>62500/300</w:t>
                  </w:r>
                </w:p>
              </w:tc>
              <w:tc>
                <w:tcPr>
                  <w:tcW w:w="1626" w:type="dxa"/>
                  <w:vAlign w:val="center"/>
                </w:tcPr>
                <w:p>
                  <w:pPr>
                    <w:jc w:val="center"/>
                    <w:rPr>
                      <w:rFonts w:hint="default" w:eastAsia="宋体"/>
                      <w:bCs/>
                      <w:color w:val="auto"/>
                      <w:szCs w:val="21"/>
                      <w:lang w:val="en-US" w:eastAsia="zh-CN"/>
                    </w:rPr>
                  </w:pPr>
                  <w:r>
                    <w:rPr>
                      <w:rFonts w:hint="eastAsia"/>
                      <w:bCs/>
                      <w:color w:val="auto"/>
                      <w:szCs w:val="21"/>
                      <w:lang w:val="en-US" w:eastAsia="zh-CN"/>
                    </w:rPr>
                    <w:t>179</w:t>
                  </w:r>
                </w:p>
              </w:tc>
              <w:tc>
                <w:tcPr>
                  <w:tcW w:w="1300" w:type="dxa"/>
                  <w:vAlign w:val="center"/>
                </w:tcPr>
                <w:p>
                  <w:pPr>
                    <w:jc w:val="center"/>
                    <w:rPr>
                      <w:rFonts w:hint="eastAsia"/>
                      <w:bCs/>
                      <w:color w:val="auto"/>
                      <w:szCs w:val="21"/>
                    </w:rPr>
                  </w:pPr>
                  <w:r>
                    <w:rPr>
                      <w:rFonts w:hint="eastAsia"/>
                      <w:color w:val="auto"/>
                      <w:szCs w:val="21"/>
                    </w:rPr>
                    <w:t>平方米</w:t>
                  </w:r>
                </w:p>
              </w:tc>
              <w:tc>
                <w:tcPr>
                  <w:tcW w:w="947" w:type="dxa"/>
                  <w:vAlign w:val="center"/>
                </w:tcPr>
                <w:p>
                  <w:pPr>
                    <w:jc w:val="center"/>
                    <w:rPr>
                      <w:rFonts w:hint="default" w:eastAsia="宋体"/>
                      <w:bCs/>
                      <w:color w:val="auto"/>
                      <w:szCs w:val="21"/>
                      <w:lang w:val="en-US" w:eastAsia="zh-CN"/>
                    </w:rPr>
                  </w:pPr>
                  <w:r>
                    <w:rPr>
                      <w:rFonts w:hint="eastAsia"/>
                      <w:bCs/>
                      <w:color w:val="auto"/>
                      <w:szCs w:val="21"/>
                      <w:lang w:val="en-US" w:eastAsia="zh-CN"/>
                    </w:rPr>
                    <w:t>85.9</w:t>
                  </w:r>
                </w:p>
              </w:tc>
            </w:tr>
          </w:tbl>
          <w:p>
            <w:pPr>
              <w:spacing w:line="360" w:lineRule="auto"/>
              <w:ind w:firstLine="480" w:firstLineChars="200"/>
              <w:rPr>
                <w:sz w:val="24"/>
              </w:rPr>
            </w:pPr>
            <w:r>
              <w:rPr>
                <w:sz w:val="24"/>
                <w:szCs w:val="20"/>
              </w:rPr>
              <w:t xml:space="preserve"> </w:t>
            </w:r>
            <w:r>
              <w:rPr>
                <w:sz w:val="24"/>
              </w:rPr>
              <w:t>根据表7-1该工程本次验收期间平均生产负荷大于75%，满足工程验收生产负荷条件要求。</w:t>
            </w:r>
          </w:p>
          <w:p>
            <w:pPr>
              <w:pStyle w:val="9"/>
              <w:spacing w:line="360" w:lineRule="auto"/>
              <w:jc w:val="both"/>
              <w:rPr>
                <w:rFonts w:ascii="Times New Roman" w:hAnsi="Times New Roman"/>
                <w:b/>
                <w:bCs/>
                <w:sz w:val="28"/>
                <w:szCs w:val="28"/>
              </w:rPr>
            </w:pPr>
            <w:r>
              <w:rPr>
                <w:rFonts w:ascii="Times New Roman" w:hAnsi="Times New Roman"/>
                <w:b/>
                <w:bCs/>
                <w:sz w:val="28"/>
                <w:szCs w:val="28"/>
              </w:rPr>
              <w:t>7.2验收监测结果</w:t>
            </w:r>
          </w:p>
          <w:p>
            <w:pPr>
              <w:pStyle w:val="4"/>
              <w:spacing w:before="0" w:after="0" w:line="360" w:lineRule="auto"/>
              <w:rPr>
                <w:sz w:val="24"/>
                <w:szCs w:val="24"/>
              </w:rPr>
            </w:pPr>
            <w:r>
              <w:rPr>
                <w:sz w:val="24"/>
                <w:szCs w:val="24"/>
              </w:rPr>
              <w:t xml:space="preserve">7.2.1 </w:t>
            </w:r>
            <w:r>
              <w:rPr>
                <w:rFonts w:hint="eastAsia"/>
                <w:sz w:val="24"/>
                <w:szCs w:val="24"/>
              </w:rPr>
              <w:t>废水</w:t>
            </w:r>
            <w:r>
              <w:rPr>
                <w:sz w:val="24"/>
                <w:szCs w:val="24"/>
              </w:rPr>
              <w:t>监测结果</w:t>
            </w:r>
          </w:p>
          <w:p>
            <w:pPr>
              <w:jc w:val="center"/>
              <w:rPr>
                <w:b/>
                <w:bCs/>
                <w:szCs w:val="21"/>
              </w:rPr>
            </w:pPr>
            <w:r>
              <w:rPr>
                <w:b/>
                <w:bCs/>
                <w:szCs w:val="21"/>
              </w:rPr>
              <w:t>表7-2    废水监测结果</w:t>
            </w:r>
          </w:p>
          <w:p>
            <w:pPr>
              <w:jc w:val="right"/>
              <w:rPr>
                <w:color w:val="000000"/>
                <w:highlight w:val="yellow"/>
              </w:rPr>
            </w:pPr>
            <w:r>
              <w:rPr>
                <w:b/>
                <w:bCs/>
                <w:color w:val="000000"/>
                <w:szCs w:val="21"/>
              </w:rPr>
              <w:t>单位：mg/L（pH：无量纲）</w:t>
            </w:r>
          </w:p>
          <w:tbl>
            <w:tblPr>
              <w:tblStyle w:val="23"/>
              <w:tblW w:w="91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9"/>
              <w:gridCol w:w="1416"/>
              <w:gridCol w:w="1011"/>
              <w:gridCol w:w="1343"/>
              <w:gridCol w:w="1178"/>
              <w:gridCol w:w="989"/>
              <w:gridCol w:w="1066"/>
              <w:gridCol w:w="10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restart"/>
                  <w:tcBorders>
                    <w:tl2br w:val="nil"/>
                    <w:tr2bl w:val="nil"/>
                  </w:tcBorders>
                  <w:vAlign w:val="center"/>
                </w:tcPr>
                <w:p>
                  <w:pPr>
                    <w:adjustRightInd w:val="0"/>
                    <w:snapToGrid w:val="0"/>
                    <w:jc w:val="center"/>
                    <w:textAlignment w:val="baseline"/>
                    <w:rPr>
                      <w:color w:val="000000"/>
                      <w:szCs w:val="21"/>
                    </w:rPr>
                  </w:pPr>
                  <w:r>
                    <w:rPr>
                      <w:color w:val="000000"/>
                      <w:szCs w:val="21"/>
                    </w:rPr>
                    <w:t>采样点</w:t>
                  </w:r>
                </w:p>
              </w:tc>
              <w:tc>
                <w:tcPr>
                  <w:tcW w:w="2427" w:type="dxa"/>
                  <w:gridSpan w:val="2"/>
                  <w:vMerge w:val="restart"/>
                  <w:tcBorders>
                    <w:tl2br w:val="nil"/>
                    <w:tr2bl w:val="nil"/>
                  </w:tcBorders>
                  <w:vAlign w:val="center"/>
                </w:tcPr>
                <w:p>
                  <w:pPr>
                    <w:adjustRightInd w:val="0"/>
                    <w:snapToGrid w:val="0"/>
                    <w:jc w:val="center"/>
                    <w:textAlignment w:val="baseline"/>
                    <w:rPr>
                      <w:color w:val="000000"/>
                      <w:szCs w:val="21"/>
                    </w:rPr>
                  </w:pPr>
                  <w:r>
                    <w:rPr>
                      <w:color w:val="000000"/>
                      <w:szCs w:val="21"/>
                    </w:rPr>
                    <w:t>采样日期及频次</w:t>
                  </w:r>
                </w:p>
              </w:tc>
              <w:tc>
                <w:tcPr>
                  <w:tcW w:w="5660" w:type="dxa"/>
                  <w:gridSpan w:val="5"/>
                  <w:tcBorders>
                    <w:tl2br w:val="nil"/>
                    <w:tr2bl w:val="nil"/>
                  </w:tcBorders>
                  <w:vAlign w:val="center"/>
                </w:tcPr>
                <w:p>
                  <w:pPr>
                    <w:adjustRightInd w:val="0"/>
                    <w:snapToGrid w:val="0"/>
                    <w:jc w:val="center"/>
                    <w:textAlignment w:val="baseline"/>
                    <w:rPr>
                      <w:color w:val="000000"/>
                      <w:szCs w:val="21"/>
                    </w:rPr>
                  </w:pPr>
                  <w:r>
                    <w:rPr>
                      <w:color w:val="000000"/>
                      <w:szCs w:val="21"/>
                    </w:rPr>
                    <w:t>检测项目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1"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vMerge w:val="continue"/>
                  <w:tcBorders>
                    <w:tl2br w:val="nil"/>
                    <w:tr2bl w:val="nil"/>
                  </w:tcBorders>
                  <w:vAlign w:val="center"/>
                </w:tcPr>
                <w:p>
                  <w:pPr>
                    <w:adjustRightInd w:val="0"/>
                    <w:snapToGrid w:val="0"/>
                    <w:jc w:val="center"/>
                    <w:textAlignment w:val="baseline"/>
                    <w:rPr>
                      <w:color w:val="000000"/>
                      <w:szCs w:val="21"/>
                    </w:rPr>
                  </w:pPr>
                </w:p>
              </w:tc>
              <w:tc>
                <w:tcPr>
                  <w:tcW w:w="1343"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PH</w:t>
                  </w:r>
                </w:p>
              </w:tc>
              <w:tc>
                <w:tcPr>
                  <w:tcW w:w="1178"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悬浮物</w:t>
                  </w:r>
                </w:p>
              </w:tc>
              <w:tc>
                <w:tcPr>
                  <w:tcW w:w="989"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化学需氧量</w:t>
                  </w:r>
                </w:p>
              </w:tc>
              <w:tc>
                <w:tcPr>
                  <w:tcW w:w="1066" w:type="dxa"/>
                  <w:tcBorders>
                    <w:tl2br w:val="nil"/>
                    <w:tr2bl w:val="nil"/>
                  </w:tcBorders>
                  <w:vAlign w:val="center"/>
                </w:tcPr>
                <w:p>
                  <w:pPr>
                    <w:adjustRightInd w:val="0"/>
                    <w:snapToGrid w:val="0"/>
                    <w:jc w:val="center"/>
                    <w:textAlignment w:val="baseline"/>
                    <w:rPr>
                      <w:color w:val="000000"/>
                      <w:szCs w:val="21"/>
                    </w:rPr>
                  </w:pPr>
                  <w:r>
                    <w:rPr>
                      <w:color w:val="000000"/>
                      <w:szCs w:val="21"/>
                    </w:rPr>
                    <w:t>NH</w:t>
                  </w:r>
                  <w:r>
                    <w:rPr>
                      <w:color w:val="000000"/>
                      <w:szCs w:val="21"/>
                      <w:vertAlign w:val="subscript"/>
                    </w:rPr>
                    <w:t>3</w:t>
                  </w:r>
                  <w:r>
                    <w:rPr>
                      <w:color w:val="000000"/>
                      <w:szCs w:val="21"/>
                    </w:rPr>
                    <w:t>-N</w:t>
                  </w:r>
                </w:p>
              </w:tc>
              <w:tc>
                <w:tcPr>
                  <w:tcW w:w="1084"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restart"/>
                  <w:tcBorders>
                    <w:tl2br w:val="nil"/>
                    <w:tr2bl w:val="nil"/>
                  </w:tcBorders>
                  <w:vAlign w:val="center"/>
                </w:tcPr>
                <w:p>
                  <w:pPr>
                    <w:adjustRightInd w:val="0"/>
                    <w:snapToGrid w:val="0"/>
                    <w:jc w:val="center"/>
                    <w:textAlignment w:val="baseline"/>
                    <w:rPr>
                      <w:color w:val="000000"/>
                      <w:szCs w:val="21"/>
                    </w:rPr>
                  </w:pPr>
                  <w:r>
                    <w:rPr>
                      <w:color w:val="000000"/>
                      <w:szCs w:val="21"/>
                    </w:rPr>
                    <w:t>厂区污水</w:t>
                  </w:r>
                  <w:r>
                    <w:rPr>
                      <w:rFonts w:hint="eastAsia"/>
                      <w:color w:val="000000"/>
                      <w:szCs w:val="21"/>
                    </w:rPr>
                    <w:t>总排</w:t>
                  </w:r>
                  <w:r>
                    <w:rPr>
                      <w:color w:val="000000"/>
                      <w:szCs w:val="21"/>
                    </w:rPr>
                    <w:t>口</w:t>
                  </w:r>
                </w:p>
              </w:tc>
              <w:tc>
                <w:tcPr>
                  <w:tcW w:w="1416" w:type="dxa"/>
                  <w:vMerge w:val="restart"/>
                  <w:tcBorders>
                    <w:tl2br w:val="nil"/>
                    <w:tr2bl w:val="nil"/>
                  </w:tcBorders>
                  <w:vAlign w:val="center"/>
                </w:tcPr>
                <w:p>
                  <w:pPr>
                    <w:adjustRightInd w:val="0"/>
                    <w:snapToGrid w:val="0"/>
                    <w:jc w:val="center"/>
                    <w:textAlignment w:val="baseline"/>
                    <w:rPr>
                      <w:rFonts w:hint="eastAsia" w:eastAsia="宋体"/>
                      <w:color w:val="000000"/>
                      <w:szCs w:val="21"/>
                      <w:lang w:eastAsia="zh-CN"/>
                    </w:rPr>
                  </w:pPr>
                  <w:r>
                    <w:rPr>
                      <w:szCs w:val="21"/>
                    </w:rPr>
                    <w:t>20</w:t>
                  </w:r>
                  <w:r>
                    <w:rPr>
                      <w:rFonts w:hint="eastAsia"/>
                      <w:szCs w:val="21"/>
                    </w:rPr>
                    <w:t>22</w:t>
                  </w:r>
                  <w:r>
                    <w:rPr>
                      <w:szCs w:val="21"/>
                    </w:rPr>
                    <w:t>-</w:t>
                  </w:r>
                  <w:r>
                    <w:rPr>
                      <w:rFonts w:hint="eastAsia"/>
                      <w:szCs w:val="21"/>
                    </w:rPr>
                    <w:t>2-</w:t>
                  </w:r>
                  <w:r>
                    <w:rPr>
                      <w:rFonts w:hint="eastAsia"/>
                      <w:szCs w:val="21"/>
                      <w:lang w:val="en-US" w:eastAsia="zh-CN"/>
                    </w:rPr>
                    <w:t>9</w:t>
                  </w: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1 \* ROMAN \* MERGEFORMAT </w:instrText>
                  </w:r>
                  <w:r>
                    <w:rPr>
                      <w:color w:val="000000"/>
                      <w:szCs w:val="21"/>
                    </w:rPr>
                    <w:fldChar w:fldCharType="separate"/>
                  </w:r>
                  <w:r>
                    <w:rPr>
                      <w:color w:val="000000"/>
                      <w:szCs w:val="21"/>
                    </w:rPr>
                    <w:t>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7.3</w:t>
                  </w:r>
                </w:p>
              </w:tc>
              <w:tc>
                <w:tcPr>
                  <w:tcW w:w="1178"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113</w:t>
                  </w:r>
                </w:p>
              </w:tc>
              <w:tc>
                <w:tcPr>
                  <w:tcW w:w="989"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186</w:t>
                  </w:r>
                </w:p>
              </w:tc>
              <w:tc>
                <w:tcPr>
                  <w:tcW w:w="1066"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10.8</w:t>
                  </w:r>
                </w:p>
              </w:tc>
              <w:tc>
                <w:tcPr>
                  <w:tcW w:w="1084"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55.8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2 \* ROMAN \* MERGEFORMAT </w:instrText>
                  </w:r>
                  <w:r>
                    <w:rPr>
                      <w:color w:val="000000"/>
                      <w:szCs w:val="21"/>
                    </w:rPr>
                    <w:fldChar w:fldCharType="separate"/>
                  </w:r>
                  <w:r>
                    <w:rPr>
                      <w:color w:val="000000"/>
                      <w:szCs w:val="21"/>
                    </w:rPr>
                    <w:t>II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7.6</w:t>
                  </w:r>
                </w:p>
              </w:tc>
              <w:tc>
                <w:tcPr>
                  <w:tcW w:w="1178"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121</w:t>
                  </w:r>
                </w:p>
              </w:tc>
              <w:tc>
                <w:tcPr>
                  <w:tcW w:w="989"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211</w:t>
                  </w:r>
                </w:p>
              </w:tc>
              <w:tc>
                <w:tcPr>
                  <w:tcW w:w="1066"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11.2</w:t>
                  </w:r>
                </w:p>
              </w:tc>
              <w:tc>
                <w:tcPr>
                  <w:tcW w:w="1084"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58.3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3 \* ROMAN \* MERGEFORMAT </w:instrText>
                  </w:r>
                  <w:r>
                    <w:rPr>
                      <w:color w:val="000000"/>
                      <w:szCs w:val="21"/>
                    </w:rPr>
                    <w:fldChar w:fldCharType="separate"/>
                  </w:r>
                  <w:r>
                    <w:rPr>
                      <w:color w:val="000000"/>
                      <w:szCs w:val="21"/>
                    </w:rPr>
                    <w:t>III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7.5</w:t>
                  </w:r>
                </w:p>
              </w:tc>
              <w:tc>
                <w:tcPr>
                  <w:tcW w:w="1178"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108</w:t>
                  </w:r>
                </w:p>
              </w:tc>
              <w:tc>
                <w:tcPr>
                  <w:tcW w:w="989"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179</w:t>
                  </w:r>
                </w:p>
              </w:tc>
              <w:tc>
                <w:tcPr>
                  <w:tcW w:w="1066"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10.3</w:t>
                  </w:r>
                </w:p>
              </w:tc>
              <w:tc>
                <w:tcPr>
                  <w:tcW w:w="1084"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57.7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t>Ⅳ</w:t>
                  </w:r>
                </w:p>
              </w:tc>
              <w:tc>
                <w:tcPr>
                  <w:tcW w:w="1343"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7.4</w:t>
                  </w:r>
                </w:p>
              </w:tc>
              <w:tc>
                <w:tcPr>
                  <w:tcW w:w="1178"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117</w:t>
                  </w:r>
                </w:p>
              </w:tc>
              <w:tc>
                <w:tcPr>
                  <w:tcW w:w="989"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185</w:t>
                  </w:r>
                </w:p>
              </w:tc>
              <w:tc>
                <w:tcPr>
                  <w:tcW w:w="1066"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11.7</w:t>
                  </w:r>
                </w:p>
              </w:tc>
              <w:tc>
                <w:tcPr>
                  <w:tcW w:w="1084" w:type="dxa"/>
                  <w:tcBorders>
                    <w:tl2br w:val="nil"/>
                    <w:tr2bl w:val="nil"/>
                  </w:tcBorders>
                  <w:vAlign w:val="center"/>
                </w:tcPr>
                <w:p>
                  <w:pPr>
                    <w:adjustRightInd w:val="0"/>
                    <w:snapToGrid w:val="0"/>
                    <w:jc w:val="center"/>
                    <w:textAlignment w:val="baseline"/>
                    <w:rPr>
                      <w:color w:val="000000"/>
                      <w:szCs w:val="21"/>
                    </w:rPr>
                  </w:pPr>
                  <w:r>
                    <w:rPr>
                      <w:rFonts w:hint="eastAsia"/>
                      <w:color w:val="000000"/>
                      <w:szCs w:val="21"/>
                    </w:rPr>
                    <w:t>56.4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平均/范围</w:t>
                  </w:r>
                </w:p>
              </w:tc>
              <w:tc>
                <w:tcPr>
                  <w:tcW w:w="1343" w:type="dxa"/>
                  <w:tcBorders>
                    <w:tl2br w:val="nil"/>
                    <w:tr2bl w:val="nil"/>
                  </w:tcBorders>
                  <w:vAlign w:val="center"/>
                </w:tcPr>
                <w:p>
                  <w:pPr>
                    <w:adjustRightInd w:val="0"/>
                    <w:snapToGrid w:val="0"/>
                    <w:jc w:val="center"/>
                    <w:textAlignment w:val="baseline"/>
                    <w:rPr>
                      <w:color w:val="FF0000"/>
                      <w:szCs w:val="21"/>
                    </w:rPr>
                  </w:pPr>
                  <w:r>
                    <w:rPr>
                      <w:rFonts w:hint="eastAsia"/>
                      <w:szCs w:val="21"/>
                    </w:rPr>
                    <w:t>7.45</w:t>
                  </w:r>
                </w:p>
              </w:tc>
              <w:tc>
                <w:tcPr>
                  <w:tcW w:w="1178" w:type="dxa"/>
                  <w:tcBorders>
                    <w:tl2br w:val="nil"/>
                    <w:tr2bl w:val="nil"/>
                  </w:tcBorders>
                  <w:vAlign w:val="center"/>
                </w:tcPr>
                <w:p>
                  <w:pPr>
                    <w:widowControl/>
                    <w:jc w:val="center"/>
                    <w:textAlignment w:val="bottom"/>
                    <w:rPr>
                      <w:color w:val="FF0000"/>
                      <w:szCs w:val="21"/>
                    </w:rPr>
                  </w:pPr>
                  <w:r>
                    <w:rPr>
                      <w:rFonts w:hint="eastAsia"/>
                      <w:szCs w:val="21"/>
                    </w:rPr>
                    <w:t>114.75</w:t>
                  </w:r>
                </w:p>
              </w:tc>
              <w:tc>
                <w:tcPr>
                  <w:tcW w:w="989" w:type="dxa"/>
                  <w:tcBorders>
                    <w:tl2br w:val="nil"/>
                    <w:tr2bl w:val="nil"/>
                  </w:tcBorders>
                  <w:vAlign w:val="center"/>
                </w:tcPr>
                <w:p>
                  <w:pPr>
                    <w:widowControl/>
                    <w:jc w:val="center"/>
                    <w:textAlignment w:val="bottom"/>
                    <w:rPr>
                      <w:color w:val="FF0000"/>
                      <w:szCs w:val="21"/>
                    </w:rPr>
                  </w:pPr>
                  <w:r>
                    <w:rPr>
                      <w:rFonts w:hint="eastAsia"/>
                      <w:szCs w:val="21"/>
                    </w:rPr>
                    <w:t>190.25</w:t>
                  </w:r>
                </w:p>
              </w:tc>
              <w:tc>
                <w:tcPr>
                  <w:tcW w:w="1066" w:type="dxa"/>
                  <w:tcBorders>
                    <w:tl2br w:val="nil"/>
                    <w:tr2bl w:val="nil"/>
                  </w:tcBorders>
                  <w:vAlign w:val="center"/>
                </w:tcPr>
                <w:p>
                  <w:pPr>
                    <w:widowControl/>
                    <w:jc w:val="center"/>
                    <w:textAlignment w:val="bottom"/>
                    <w:rPr>
                      <w:color w:val="FF0000"/>
                      <w:szCs w:val="21"/>
                    </w:rPr>
                  </w:pPr>
                  <w:r>
                    <w:rPr>
                      <w:rFonts w:hint="eastAsia"/>
                      <w:szCs w:val="21"/>
                    </w:rPr>
                    <w:t>11.0</w:t>
                  </w:r>
                </w:p>
              </w:tc>
              <w:tc>
                <w:tcPr>
                  <w:tcW w:w="1084" w:type="dxa"/>
                  <w:tcBorders>
                    <w:tl2br w:val="nil"/>
                    <w:tr2bl w:val="nil"/>
                  </w:tcBorders>
                  <w:vAlign w:val="center"/>
                </w:tcPr>
                <w:p>
                  <w:pPr>
                    <w:widowControl/>
                    <w:jc w:val="center"/>
                    <w:textAlignment w:val="bottom"/>
                    <w:rPr>
                      <w:color w:val="FF0000"/>
                      <w:szCs w:val="21"/>
                    </w:rPr>
                  </w:pPr>
                  <w:r>
                    <w:rPr>
                      <w:rFonts w:hint="eastAsia"/>
                      <w:szCs w:val="21"/>
                    </w:rPr>
                    <w:t>57.05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标准值</w:t>
                  </w:r>
                </w:p>
              </w:tc>
              <w:tc>
                <w:tcPr>
                  <w:tcW w:w="1343" w:type="dxa"/>
                  <w:tcBorders>
                    <w:tl2br w:val="nil"/>
                    <w:tr2bl w:val="nil"/>
                  </w:tcBorders>
                  <w:vAlign w:val="center"/>
                </w:tcPr>
                <w:p>
                  <w:pPr>
                    <w:adjustRightInd w:val="0"/>
                    <w:snapToGrid w:val="0"/>
                    <w:jc w:val="center"/>
                    <w:textAlignment w:val="baseline"/>
                    <w:rPr>
                      <w:szCs w:val="21"/>
                    </w:rPr>
                  </w:pPr>
                  <w:r>
                    <w:rPr>
                      <w:szCs w:val="21"/>
                    </w:rPr>
                    <w:t>6~9</w:t>
                  </w:r>
                  <w:r>
                    <w:rPr>
                      <w:rFonts w:hint="eastAsia"/>
                      <w:szCs w:val="21"/>
                    </w:rPr>
                    <w:t xml:space="preserve">                                              </w:t>
                  </w:r>
                </w:p>
              </w:tc>
              <w:tc>
                <w:tcPr>
                  <w:tcW w:w="1178" w:type="dxa"/>
                  <w:tcBorders>
                    <w:tl2br w:val="nil"/>
                    <w:tr2bl w:val="nil"/>
                  </w:tcBorders>
                  <w:vAlign w:val="center"/>
                </w:tcPr>
                <w:p>
                  <w:pPr>
                    <w:adjustRightInd w:val="0"/>
                    <w:snapToGrid w:val="0"/>
                    <w:jc w:val="center"/>
                    <w:textAlignment w:val="baseline"/>
                    <w:rPr>
                      <w:szCs w:val="21"/>
                    </w:rPr>
                  </w:pPr>
                  <w:r>
                    <w:rPr>
                      <w:rFonts w:hint="eastAsia"/>
                      <w:szCs w:val="21"/>
                    </w:rPr>
                    <w:t>400</w:t>
                  </w:r>
                </w:p>
              </w:tc>
              <w:tc>
                <w:tcPr>
                  <w:tcW w:w="989" w:type="dxa"/>
                  <w:tcBorders>
                    <w:tl2br w:val="nil"/>
                    <w:tr2bl w:val="nil"/>
                  </w:tcBorders>
                  <w:vAlign w:val="center"/>
                </w:tcPr>
                <w:p>
                  <w:pPr>
                    <w:adjustRightInd w:val="0"/>
                    <w:snapToGrid w:val="0"/>
                    <w:jc w:val="center"/>
                    <w:textAlignment w:val="baseline"/>
                    <w:rPr>
                      <w:szCs w:val="21"/>
                    </w:rPr>
                  </w:pPr>
                  <w:r>
                    <w:rPr>
                      <w:rFonts w:hint="eastAsia"/>
                      <w:szCs w:val="21"/>
                    </w:rPr>
                    <w:t>500</w:t>
                  </w:r>
                </w:p>
              </w:tc>
              <w:tc>
                <w:tcPr>
                  <w:tcW w:w="1066" w:type="dxa"/>
                  <w:tcBorders>
                    <w:tl2br w:val="nil"/>
                    <w:tr2bl w:val="nil"/>
                  </w:tcBorders>
                  <w:vAlign w:val="center"/>
                </w:tcPr>
                <w:p>
                  <w:pPr>
                    <w:adjustRightInd w:val="0"/>
                    <w:snapToGrid w:val="0"/>
                    <w:jc w:val="center"/>
                    <w:textAlignment w:val="baseline"/>
                    <w:rPr>
                      <w:szCs w:val="21"/>
                    </w:rPr>
                  </w:pPr>
                  <w:r>
                    <w:rPr>
                      <w:rFonts w:hint="eastAsia"/>
                      <w:szCs w:val="21"/>
                    </w:rPr>
                    <w:t>25</w:t>
                  </w:r>
                </w:p>
              </w:tc>
              <w:tc>
                <w:tcPr>
                  <w:tcW w:w="1084" w:type="dxa"/>
                  <w:tcBorders>
                    <w:tl2br w:val="nil"/>
                    <w:tr2bl w:val="nil"/>
                  </w:tcBorders>
                  <w:vAlign w:val="center"/>
                </w:tcPr>
                <w:p>
                  <w:pPr>
                    <w:adjustRightInd w:val="0"/>
                    <w:snapToGrid w:val="0"/>
                    <w:jc w:val="center"/>
                    <w:textAlignment w:val="baseline"/>
                    <w:rPr>
                      <w:szCs w:val="21"/>
                    </w:rPr>
                  </w:pPr>
                  <w:r>
                    <w:rPr>
                      <w:rFonts w:hint="eastAsia"/>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达标情况</w:t>
                  </w:r>
                </w:p>
              </w:tc>
              <w:tc>
                <w:tcPr>
                  <w:tcW w:w="1343"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1178"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989"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1066"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1084"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restart"/>
                  <w:tcBorders>
                    <w:tl2br w:val="nil"/>
                    <w:tr2bl w:val="nil"/>
                  </w:tcBorders>
                  <w:vAlign w:val="center"/>
                </w:tcPr>
                <w:p>
                  <w:pPr>
                    <w:adjustRightInd w:val="0"/>
                    <w:snapToGrid w:val="0"/>
                    <w:jc w:val="center"/>
                    <w:textAlignment w:val="baseline"/>
                    <w:rPr>
                      <w:rFonts w:hint="default" w:eastAsia="宋体"/>
                      <w:color w:val="000000"/>
                      <w:szCs w:val="21"/>
                      <w:lang w:val="en-US" w:eastAsia="zh-CN"/>
                    </w:rPr>
                  </w:pPr>
                  <w:r>
                    <w:rPr>
                      <w:color w:val="000000"/>
                      <w:szCs w:val="21"/>
                    </w:rPr>
                    <w:t>20</w:t>
                  </w:r>
                  <w:r>
                    <w:rPr>
                      <w:rFonts w:hint="eastAsia"/>
                      <w:color w:val="000000"/>
                      <w:szCs w:val="21"/>
                    </w:rPr>
                    <w:t>22</w:t>
                  </w:r>
                  <w:r>
                    <w:rPr>
                      <w:color w:val="000000"/>
                      <w:szCs w:val="21"/>
                    </w:rPr>
                    <w:t>-</w:t>
                  </w:r>
                  <w:r>
                    <w:rPr>
                      <w:rFonts w:hint="eastAsia"/>
                      <w:color w:val="000000"/>
                      <w:szCs w:val="21"/>
                    </w:rPr>
                    <w:t>2</w:t>
                  </w:r>
                  <w:r>
                    <w:rPr>
                      <w:color w:val="000000"/>
                      <w:szCs w:val="21"/>
                    </w:rPr>
                    <w:t>-</w:t>
                  </w:r>
                  <w:r>
                    <w:rPr>
                      <w:rFonts w:hint="eastAsia"/>
                      <w:color w:val="000000"/>
                      <w:szCs w:val="21"/>
                      <w:lang w:val="en-US" w:eastAsia="zh-CN"/>
                    </w:rPr>
                    <w:t>10</w:t>
                  </w: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1 \* ROMAN \* MERGEFORMAT </w:instrText>
                  </w:r>
                  <w:r>
                    <w:rPr>
                      <w:color w:val="000000"/>
                      <w:szCs w:val="21"/>
                    </w:rPr>
                    <w:fldChar w:fldCharType="separate"/>
                  </w:r>
                  <w:r>
                    <w:rPr>
                      <w:color w:val="000000"/>
                      <w:szCs w:val="21"/>
                    </w:rPr>
                    <w:t>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szCs w:val="21"/>
                    </w:rPr>
                  </w:pPr>
                  <w:r>
                    <w:rPr>
                      <w:rFonts w:hint="eastAsia"/>
                      <w:color w:val="000000"/>
                      <w:szCs w:val="21"/>
                    </w:rPr>
                    <w:t>7.7</w:t>
                  </w:r>
                </w:p>
              </w:tc>
              <w:tc>
                <w:tcPr>
                  <w:tcW w:w="1178" w:type="dxa"/>
                  <w:tcBorders>
                    <w:tl2br w:val="nil"/>
                    <w:tr2bl w:val="nil"/>
                  </w:tcBorders>
                  <w:vAlign w:val="center"/>
                </w:tcPr>
                <w:p>
                  <w:pPr>
                    <w:adjustRightInd w:val="0"/>
                    <w:snapToGrid w:val="0"/>
                    <w:jc w:val="center"/>
                    <w:textAlignment w:val="baseline"/>
                    <w:rPr>
                      <w:szCs w:val="21"/>
                    </w:rPr>
                  </w:pPr>
                  <w:r>
                    <w:rPr>
                      <w:rFonts w:hint="eastAsia"/>
                      <w:color w:val="000000"/>
                      <w:szCs w:val="21"/>
                    </w:rPr>
                    <w:t>118</w:t>
                  </w:r>
                </w:p>
              </w:tc>
              <w:tc>
                <w:tcPr>
                  <w:tcW w:w="989" w:type="dxa"/>
                  <w:tcBorders>
                    <w:tl2br w:val="nil"/>
                    <w:tr2bl w:val="nil"/>
                  </w:tcBorders>
                  <w:vAlign w:val="center"/>
                </w:tcPr>
                <w:p>
                  <w:pPr>
                    <w:adjustRightInd w:val="0"/>
                    <w:snapToGrid w:val="0"/>
                    <w:jc w:val="center"/>
                    <w:textAlignment w:val="baseline"/>
                    <w:rPr>
                      <w:szCs w:val="21"/>
                    </w:rPr>
                  </w:pPr>
                  <w:r>
                    <w:rPr>
                      <w:rFonts w:hint="eastAsia"/>
                      <w:color w:val="000000"/>
                      <w:szCs w:val="21"/>
                    </w:rPr>
                    <w:t>221</w:t>
                  </w:r>
                </w:p>
              </w:tc>
              <w:tc>
                <w:tcPr>
                  <w:tcW w:w="1066" w:type="dxa"/>
                  <w:tcBorders>
                    <w:tl2br w:val="nil"/>
                    <w:tr2bl w:val="nil"/>
                  </w:tcBorders>
                  <w:vAlign w:val="center"/>
                </w:tcPr>
                <w:p>
                  <w:pPr>
                    <w:adjustRightInd w:val="0"/>
                    <w:snapToGrid w:val="0"/>
                    <w:jc w:val="center"/>
                    <w:textAlignment w:val="baseline"/>
                    <w:rPr>
                      <w:szCs w:val="21"/>
                    </w:rPr>
                  </w:pPr>
                  <w:r>
                    <w:rPr>
                      <w:rFonts w:hint="eastAsia"/>
                      <w:color w:val="000000"/>
                      <w:szCs w:val="21"/>
                    </w:rPr>
                    <w:t>11.7</w:t>
                  </w:r>
                </w:p>
              </w:tc>
              <w:tc>
                <w:tcPr>
                  <w:tcW w:w="1084" w:type="dxa"/>
                  <w:tcBorders>
                    <w:tl2br w:val="nil"/>
                    <w:tr2bl w:val="nil"/>
                  </w:tcBorders>
                  <w:vAlign w:val="center"/>
                </w:tcPr>
                <w:p>
                  <w:pPr>
                    <w:adjustRightInd w:val="0"/>
                    <w:snapToGrid w:val="0"/>
                    <w:jc w:val="center"/>
                    <w:textAlignment w:val="baseline"/>
                    <w:rPr>
                      <w:szCs w:val="21"/>
                    </w:rPr>
                  </w:pPr>
                  <w:r>
                    <w:rPr>
                      <w:rFonts w:hint="eastAsia"/>
                      <w:color w:val="000000"/>
                      <w:szCs w:val="21"/>
                    </w:rPr>
                    <w:t>66.3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1"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2 \* ROMAN \* MERGEFORMAT </w:instrText>
                  </w:r>
                  <w:r>
                    <w:rPr>
                      <w:color w:val="000000"/>
                      <w:szCs w:val="21"/>
                    </w:rPr>
                    <w:fldChar w:fldCharType="separate"/>
                  </w:r>
                  <w:r>
                    <w:rPr>
                      <w:color w:val="000000"/>
                      <w:szCs w:val="21"/>
                    </w:rPr>
                    <w:t>II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szCs w:val="21"/>
                    </w:rPr>
                  </w:pPr>
                  <w:r>
                    <w:rPr>
                      <w:rFonts w:hint="eastAsia"/>
                      <w:color w:val="000000"/>
                      <w:szCs w:val="21"/>
                    </w:rPr>
                    <w:t>7.4</w:t>
                  </w:r>
                </w:p>
              </w:tc>
              <w:tc>
                <w:tcPr>
                  <w:tcW w:w="1178" w:type="dxa"/>
                  <w:tcBorders>
                    <w:tl2br w:val="nil"/>
                    <w:tr2bl w:val="nil"/>
                  </w:tcBorders>
                  <w:vAlign w:val="center"/>
                </w:tcPr>
                <w:p>
                  <w:pPr>
                    <w:adjustRightInd w:val="0"/>
                    <w:snapToGrid w:val="0"/>
                    <w:jc w:val="center"/>
                    <w:textAlignment w:val="baseline"/>
                    <w:rPr>
                      <w:szCs w:val="21"/>
                    </w:rPr>
                  </w:pPr>
                  <w:r>
                    <w:rPr>
                      <w:rFonts w:hint="eastAsia"/>
                      <w:color w:val="000000"/>
                      <w:szCs w:val="21"/>
                    </w:rPr>
                    <w:t>106</w:t>
                  </w:r>
                </w:p>
              </w:tc>
              <w:tc>
                <w:tcPr>
                  <w:tcW w:w="989" w:type="dxa"/>
                  <w:tcBorders>
                    <w:tl2br w:val="nil"/>
                    <w:tr2bl w:val="nil"/>
                  </w:tcBorders>
                  <w:vAlign w:val="center"/>
                </w:tcPr>
                <w:p>
                  <w:pPr>
                    <w:adjustRightInd w:val="0"/>
                    <w:snapToGrid w:val="0"/>
                    <w:jc w:val="center"/>
                    <w:textAlignment w:val="baseline"/>
                    <w:rPr>
                      <w:szCs w:val="21"/>
                    </w:rPr>
                  </w:pPr>
                  <w:r>
                    <w:rPr>
                      <w:rFonts w:hint="eastAsia"/>
                      <w:color w:val="000000"/>
                      <w:szCs w:val="21"/>
                    </w:rPr>
                    <w:t>216</w:t>
                  </w:r>
                </w:p>
              </w:tc>
              <w:tc>
                <w:tcPr>
                  <w:tcW w:w="1066" w:type="dxa"/>
                  <w:tcBorders>
                    <w:tl2br w:val="nil"/>
                    <w:tr2bl w:val="nil"/>
                  </w:tcBorders>
                  <w:vAlign w:val="center"/>
                </w:tcPr>
                <w:p>
                  <w:pPr>
                    <w:adjustRightInd w:val="0"/>
                    <w:snapToGrid w:val="0"/>
                    <w:jc w:val="center"/>
                    <w:textAlignment w:val="baseline"/>
                    <w:rPr>
                      <w:szCs w:val="21"/>
                    </w:rPr>
                  </w:pPr>
                  <w:r>
                    <w:rPr>
                      <w:rFonts w:hint="eastAsia"/>
                      <w:color w:val="000000"/>
                      <w:szCs w:val="21"/>
                    </w:rPr>
                    <w:t>12.3</w:t>
                  </w:r>
                </w:p>
              </w:tc>
              <w:tc>
                <w:tcPr>
                  <w:tcW w:w="1084" w:type="dxa"/>
                  <w:tcBorders>
                    <w:tl2br w:val="nil"/>
                    <w:tr2bl w:val="nil"/>
                  </w:tcBorders>
                  <w:vAlign w:val="center"/>
                </w:tcPr>
                <w:p>
                  <w:pPr>
                    <w:adjustRightInd w:val="0"/>
                    <w:snapToGrid w:val="0"/>
                    <w:jc w:val="center"/>
                    <w:textAlignment w:val="baseline"/>
                    <w:rPr>
                      <w:szCs w:val="21"/>
                    </w:rPr>
                  </w:pPr>
                  <w:r>
                    <w:rPr>
                      <w:rFonts w:hint="eastAsia"/>
                      <w:color w:val="000000"/>
                      <w:szCs w:val="21"/>
                    </w:rPr>
                    <w:t>63.7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fldChar w:fldCharType="begin"/>
                  </w:r>
                  <w:r>
                    <w:rPr>
                      <w:color w:val="000000"/>
                      <w:szCs w:val="21"/>
                    </w:rPr>
                    <w:instrText xml:space="preserve"> = 3 \* ROMAN \* MERGEFORMAT </w:instrText>
                  </w:r>
                  <w:r>
                    <w:rPr>
                      <w:color w:val="000000"/>
                      <w:szCs w:val="21"/>
                    </w:rPr>
                    <w:fldChar w:fldCharType="separate"/>
                  </w:r>
                  <w:r>
                    <w:rPr>
                      <w:color w:val="000000"/>
                      <w:szCs w:val="21"/>
                    </w:rPr>
                    <w:t>III</w:t>
                  </w:r>
                  <w:r>
                    <w:rPr>
                      <w:color w:val="000000"/>
                      <w:szCs w:val="21"/>
                    </w:rPr>
                    <w:fldChar w:fldCharType="end"/>
                  </w:r>
                </w:p>
              </w:tc>
              <w:tc>
                <w:tcPr>
                  <w:tcW w:w="1343" w:type="dxa"/>
                  <w:tcBorders>
                    <w:tl2br w:val="nil"/>
                    <w:tr2bl w:val="nil"/>
                  </w:tcBorders>
                  <w:vAlign w:val="center"/>
                </w:tcPr>
                <w:p>
                  <w:pPr>
                    <w:adjustRightInd w:val="0"/>
                    <w:snapToGrid w:val="0"/>
                    <w:jc w:val="center"/>
                    <w:textAlignment w:val="baseline"/>
                    <w:rPr>
                      <w:szCs w:val="21"/>
                    </w:rPr>
                  </w:pPr>
                  <w:r>
                    <w:rPr>
                      <w:rFonts w:hint="eastAsia"/>
                      <w:color w:val="000000"/>
                      <w:szCs w:val="21"/>
                    </w:rPr>
                    <w:t>7.8</w:t>
                  </w:r>
                </w:p>
              </w:tc>
              <w:tc>
                <w:tcPr>
                  <w:tcW w:w="1178" w:type="dxa"/>
                  <w:tcBorders>
                    <w:tl2br w:val="nil"/>
                    <w:tr2bl w:val="nil"/>
                  </w:tcBorders>
                  <w:vAlign w:val="center"/>
                </w:tcPr>
                <w:p>
                  <w:pPr>
                    <w:adjustRightInd w:val="0"/>
                    <w:snapToGrid w:val="0"/>
                    <w:jc w:val="center"/>
                    <w:textAlignment w:val="baseline"/>
                    <w:rPr>
                      <w:szCs w:val="21"/>
                    </w:rPr>
                  </w:pPr>
                  <w:r>
                    <w:rPr>
                      <w:rFonts w:hint="eastAsia"/>
                      <w:color w:val="000000"/>
                      <w:szCs w:val="21"/>
                    </w:rPr>
                    <w:t>119</w:t>
                  </w:r>
                </w:p>
              </w:tc>
              <w:tc>
                <w:tcPr>
                  <w:tcW w:w="989" w:type="dxa"/>
                  <w:tcBorders>
                    <w:tl2br w:val="nil"/>
                    <w:tr2bl w:val="nil"/>
                  </w:tcBorders>
                  <w:vAlign w:val="center"/>
                </w:tcPr>
                <w:p>
                  <w:pPr>
                    <w:adjustRightInd w:val="0"/>
                    <w:snapToGrid w:val="0"/>
                    <w:jc w:val="center"/>
                    <w:textAlignment w:val="baseline"/>
                    <w:rPr>
                      <w:szCs w:val="21"/>
                    </w:rPr>
                  </w:pPr>
                  <w:r>
                    <w:rPr>
                      <w:rFonts w:hint="eastAsia"/>
                      <w:color w:val="000000"/>
                      <w:szCs w:val="21"/>
                    </w:rPr>
                    <w:t>198</w:t>
                  </w:r>
                </w:p>
              </w:tc>
              <w:tc>
                <w:tcPr>
                  <w:tcW w:w="1066" w:type="dxa"/>
                  <w:tcBorders>
                    <w:tl2br w:val="nil"/>
                    <w:tr2bl w:val="nil"/>
                  </w:tcBorders>
                  <w:vAlign w:val="center"/>
                </w:tcPr>
                <w:p>
                  <w:pPr>
                    <w:adjustRightInd w:val="0"/>
                    <w:snapToGrid w:val="0"/>
                    <w:jc w:val="center"/>
                    <w:textAlignment w:val="baseline"/>
                    <w:rPr>
                      <w:szCs w:val="21"/>
                    </w:rPr>
                  </w:pPr>
                  <w:r>
                    <w:rPr>
                      <w:rFonts w:hint="eastAsia"/>
                      <w:color w:val="000000"/>
                      <w:szCs w:val="21"/>
                    </w:rPr>
                    <w:t>11.5</w:t>
                  </w:r>
                </w:p>
              </w:tc>
              <w:tc>
                <w:tcPr>
                  <w:tcW w:w="1084" w:type="dxa"/>
                  <w:tcBorders>
                    <w:tl2br w:val="nil"/>
                    <w:tr2bl w:val="nil"/>
                  </w:tcBorders>
                  <w:vAlign w:val="center"/>
                </w:tcPr>
                <w:p>
                  <w:pPr>
                    <w:adjustRightInd w:val="0"/>
                    <w:snapToGrid w:val="0"/>
                    <w:jc w:val="center"/>
                    <w:textAlignment w:val="baseline"/>
                    <w:rPr>
                      <w:szCs w:val="21"/>
                    </w:rPr>
                  </w:pPr>
                  <w:r>
                    <w:rPr>
                      <w:rFonts w:hint="eastAsia"/>
                      <w:color w:val="000000"/>
                      <w:szCs w:val="21"/>
                    </w:rPr>
                    <w:t>59.8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1416" w:type="dxa"/>
                  <w:vMerge w:val="continue"/>
                  <w:tcBorders>
                    <w:tl2br w:val="nil"/>
                    <w:tr2bl w:val="nil"/>
                  </w:tcBorders>
                  <w:vAlign w:val="center"/>
                </w:tcPr>
                <w:p>
                  <w:pPr>
                    <w:adjustRightInd w:val="0"/>
                    <w:snapToGrid w:val="0"/>
                    <w:jc w:val="center"/>
                    <w:textAlignment w:val="baseline"/>
                    <w:rPr>
                      <w:color w:val="000000"/>
                      <w:szCs w:val="21"/>
                    </w:rPr>
                  </w:pPr>
                </w:p>
              </w:tc>
              <w:tc>
                <w:tcPr>
                  <w:tcW w:w="1011" w:type="dxa"/>
                  <w:tcBorders>
                    <w:tl2br w:val="nil"/>
                    <w:tr2bl w:val="nil"/>
                  </w:tcBorders>
                  <w:vAlign w:val="center"/>
                </w:tcPr>
                <w:p>
                  <w:pPr>
                    <w:adjustRightInd w:val="0"/>
                    <w:snapToGrid w:val="0"/>
                    <w:jc w:val="center"/>
                    <w:textAlignment w:val="baseline"/>
                    <w:rPr>
                      <w:color w:val="000000"/>
                      <w:szCs w:val="21"/>
                    </w:rPr>
                  </w:pPr>
                  <w:r>
                    <w:rPr>
                      <w:color w:val="000000"/>
                      <w:szCs w:val="21"/>
                    </w:rPr>
                    <w:t>Ⅳ</w:t>
                  </w:r>
                </w:p>
              </w:tc>
              <w:tc>
                <w:tcPr>
                  <w:tcW w:w="1343" w:type="dxa"/>
                  <w:tcBorders>
                    <w:tl2br w:val="nil"/>
                    <w:tr2bl w:val="nil"/>
                  </w:tcBorders>
                  <w:vAlign w:val="center"/>
                </w:tcPr>
                <w:p>
                  <w:pPr>
                    <w:adjustRightInd w:val="0"/>
                    <w:snapToGrid w:val="0"/>
                    <w:jc w:val="center"/>
                    <w:textAlignment w:val="baseline"/>
                    <w:rPr>
                      <w:szCs w:val="21"/>
                    </w:rPr>
                  </w:pPr>
                  <w:r>
                    <w:rPr>
                      <w:rFonts w:hint="eastAsia"/>
                      <w:color w:val="000000"/>
                      <w:szCs w:val="21"/>
                    </w:rPr>
                    <w:t>7.6</w:t>
                  </w:r>
                </w:p>
              </w:tc>
              <w:tc>
                <w:tcPr>
                  <w:tcW w:w="1178" w:type="dxa"/>
                  <w:tcBorders>
                    <w:tl2br w:val="nil"/>
                    <w:tr2bl w:val="nil"/>
                  </w:tcBorders>
                  <w:vAlign w:val="center"/>
                </w:tcPr>
                <w:p>
                  <w:pPr>
                    <w:adjustRightInd w:val="0"/>
                    <w:snapToGrid w:val="0"/>
                    <w:jc w:val="center"/>
                    <w:textAlignment w:val="baseline"/>
                    <w:rPr>
                      <w:szCs w:val="21"/>
                    </w:rPr>
                  </w:pPr>
                  <w:r>
                    <w:rPr>
                      <w:rFonts w:hint="eastAsia"/>
                      <w:color w:val="000000"/>
                      <w:szCs w:val="21"/>
                    </w:rPr>
                    <w:t>121</w:t>
                  </w:r>
                </w:p>
              </w:tc>
              <w:tc>
                <w:tcPr>
                  <w:tcW w:w="989" w:type="dxa"/>
                  <w:tcBorders>
                    <w:tl2br w:val="nil"/>
                    <w:tr2bl w:val="nil"/>
                  </w:tcBorders>
                  <w:vAlign w:val="center"/>
                </w:tcPr>
                <w:p>
                  <w:pPr>
                    <w:adjustRightInd w:val="0"/>
                    <w:snapToGrid w:val="0"/>
                    <w:jc w:val="center"/>
                    <w:textAlignment w:val="baseline"/>
                    <w:rPr>
                      <w:szCs w:val="21"/>
                    </w:rPr>
                  </w:pPr>
                  <w:r>
                    <w:rPr>
                      <w:rFonts w:hint="eastAsia"/>
                      <w:color w:val="000000"/>
                      <w:szCs w:val="21"/>
                    </w:rPr>
                    <w:t>207</w:t>
                  </w:r>
                </w:p>
              </w:tc>
              <w:tc>
                <w:tcPr>
                  <w:tcW w:w="1066" w:type="dxa"/>
                  <w:tcBorders>
                    <w:tl2br w:val="nil"/>
                    <w:tr2bl w:val="nil"/>
                  </w:tcBorders>
                  <w:vAlign w:val="center"/>
                </w:tcPr>
                <w:p>
                  <w:pPr>
                    <w:adjustRightInd w:val="0"/>
                    <w:snapToGrid w:val="0"/>
                    <w:jc w:val="center"/>
                    <w:textAlignment w:val="baseline"/>
                    <w:rPr>
                      <w:szCs w:val="21"/>
                    </w:rPr>
                  </w:pPr>
                  <w:r>
                    <w:rPr>
                      <w:rFonts w:hint="eastAsia"/>
                      <w:color w:val="000000"/>
                      <w:szCs w:val="21"/>
                    </w:rPr>
                    <w:t>11.3</w:t>
                  </w:r>
                </w:p>
              </w:tc>
              <w:tc>
                <w:tcPr>
                  <w:tcW w:w="1084" w:type="dxa"/>
                  <w:tcBorders>
                    <w:tl2br w:val="nil"/>
                    <w:tr2bl w:val="nil"/>
                  </w:tcBorders>
                  <w:vAlign w:val="center"/>
                </w:tcPr>
                <w:p>
                  <w:pPr>
                    <w:adjustRightInd w:val="0"/>
                    <w:snapToGrid w:val="0"/>
                    <w:jc w:val="center"/>
                    <w:textAlignment w:val="baseline"/>
                    <w:rPr>
                      <w:szCs w:val="21"/>
                    </w:rPr>
                  </w:pPr>
                  <w:r>
                    <w:rPr>
                      <w:rFonts w:hint="eastAsia"/>
                      <w:color w:val="000000"/>
                      <w:szCs w:val="21"/>
                    </w:rPr>
                    <w:t>61.3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平均/范围</w:t>
                  </w:r>
                </w:p>
              </w:tc>
              <w:tc>
                <w:tcPr>
                  <w:tcW w:w="1343" w:type="dxa"/>
                  <w:tcBorders>
                    <w:tl2br w:val="nil"/>
                    <w:tr2bl w:val="nil"/>
                  </w:tcBorders>
                  <w:vAlign w:val="center"/>
                </w:tcPr>
                <w:p>
                  <w:pPr>
                    <w:adjustRightInd w:val="0"/>
                    <w:snapToGrid w:val="0"/>
                    <w:jc w:val="center"/>
                    <w:textAlignment w:val="baseline"/>
                    <w:rPr>
                      <w:kern w:val="0"/>
                      <w:szCs w:val="21"/>
                      <w:lang w:bidi="ar"/>
                    </w:rPr>
                  </w:pPr>
                  <w:r>
                    <w:rPr>
                      <w:rFonts w:hint="eastAsia"/>
                      <w:kern w:val="0"/>
                      <w:szCs w:val="21"/>
                      <w:lang w:bidi="ar"/>
                    </w:rPr>
                    <w:t>7.63</w:t>
                  </w:r>
                </w:p>
              </w:tc>
              <w:tc>
                <w:tcPr>
                  <w:tcW w:w="1178" w:type="dxa"/>
                  <w:tcBorders>
                    <w:tl2br w:val="nil"/>
                    <w:tr2bl w:val="nil"/>
                  </w:tcBorders>
                  <w:vAlign w:val="center"/>
                </w:tcPr>
                <w:p>
                  <w:pPr>
                    <w:widowControl/>
                    <w:jc w:val="center"/>
                    <w:textAlignment w:val="bottom"/>
                    <w:rPr>
                      <w:szCs w:val="21"/>
                    </w:rPr>
                  </w:pPr>
                  <w:r>
                    <w:rPr>
                      <w:rFonts w:hint="eastAsia"/>
                      <w:szCs w:val="21"/>
                    </w:rPr>
                    <w:t>116</w:t>
                  </w:r>
                </w:p>
              </w:tc>
              <w:tc>
                <w:tcPr>
                  <w:tcW w:w="989" w:type="dxa"/>
                  <w:tcBorders>
                    <w:tl2br w:val="nil"/>
                    <w:tr2bl w:val="nil"/>
                  </w:tcBorders>
                  <w:vAlign w:val="center"/>
                </w:tcPr>
                <w:p>
                  <w:pPr>
                    <w:widowControl/>
                    <w:jc w:val="center"/>
                    <w:textAlignment w:val="bottom"/>
                    <w:rPr>
                      <w:szCs w:val="21"/>
                    </w:rPr>
                  </w:pPr>
                  <w:r>
                    <w:rPr>
                      <w:rFonts w:hint="eastAsia"/>
                      <w:szCs w:val="21"/>
                    </w:rPr>
                    <w:t>210.5</w:t>
                  </w:r>
                </w:p>
              </w:tc>
              <w:tc>
                <w:tcPr>
                  <w:tcW w:w="1066" w:type="dxa"/>
                  <w:tcBorders>
                    <w:tl2br w:val="nil"/>
                    <w:tr2bl w:val="nil"/>
                  </w:tcBorders>
                  <w:vAlign w:val="center"/>
                </w:tcPr>
                <w:p>
                  <w:pPr>
                    <w:widowControl/>
                    <w:jc w:val="center"/>
                    <w:textAlignment w:val="bottom"/>
                    <w:rPr>
                      <w:szCs w:val="21"/>
                    </w:rPr>
                  </w:pPr>
                  <w:r>
                    <w:rPr>
                      <w:rFonts w:hint="eastAsia"/>
                      <w:szCs w:val="21"/>
                    </w:rPr>
                    <w:t>11.7</w:t>
                  </w:r>
                </w:p>
              </w:tc>
              <w:tc>
                <w:tcPr>
                  <w:tcW w:w="1084" w:type="dxa"/>
                  <w:tcBorders>
                    <w:tl2br w:val="nil"/>
                    <w:tr2bl w:val="nil"/>
                  </w:tcBorders>
                  <w:vAlign w:val="center"/>
                </w:tcPr>
                <w:p>
                  <w:pPr>
                    <w:widowControl/>
                    <w:jc w:val="center"/>
                    <w:textAlignment w:val="bottom"/>
                    <w:rPr>
                      <w:szCs w:val="21"/>
                    </w:rPr>
                  </w:pPr>
                  <w:r>
                    <w:rPr>
                      <w:rFonts w:hint="eastAsia"/>
                      <w:szCs w:val="21"/>
                    </w:rPr>
                    <w:t xml:space="preserve"> 62.8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标准值</w:t>
                  </w:r>
                </w:p>
              </w:tc>
              <w:tc>
                <w:tcPr>
                  <w:tcW w:w="1343" w:type="dxa"/>
                  <w:tcBorders>
                    <w:tl2br w:val="nil"/>
                    <w:tr2bl w:val="nil"/>
                  </w:tcBorders>
                  <w:vAlign w:val="center"/>
                </w:tcPr>
                <w:p>
                  <w:pPr>
                    <w:adjustRightInd w:val="0"/>
                    <w:snapToGrid w:val="0"/>
                    <w:jc w:val="center"/>
                    <w:textAlignment w:val="baseline"/>
                    <w:rPr>
                      <w:szCs w:val="21"/>
                    </w:rPr>
                  </w:pPr>
                  <w:r>
                    <w:rPr>
                      <w:szCs w:val="21"/>
                    </w:rPr>
                    <w:t>6~9</w:t>
                  </w:r>
                  <w:r>
                    <w:rPr>
                      <w:rFonts w:hint="eastAsia"/>
                      <w:szCs w:val="21"/>
                    </w:rPr>
                    <w:t xml:space="preserve">                                              </w:t>
                  </w:r>
                </w:p>
              </w:tc>
              <w:tc>
                <w:tcPr>
                  <w:tcW w:w="1178" w:type="dxa"/>
                  <w:tcBorders>
                    <w:tl2br w:val="nil"/>
                    <w:tr2bl w:val="nil"/>
                  </w:tcBorders>
                  <w:vAlign w:val="center"/>
                </w:tcPr>
                <w:p>
                  <w:pPr>
                    <w:adjustRightInd w:val="0"/>
                    <w:snapToGrid w:val="0"/>
                    <w:jc w:val="center"/>
                    <w:textAlignment w:val="baseline"/>
                    <w:rPr>
                      <w:szCs w:val="21"/>
                    </w:rPr>
                  </w:pPr>
                  <w:r>
                    <w:rPr>
                      <w:rFonts w:hint="eastAsia"/>
                      <w:szCs w:val="21"/>
                    </w:rPr>
                    <w:t>400</w:t>
                  </w:r>
                </w:p>
              </w:tc>
              <w:tc>
                <w:tcPr>
                  <w:tcW w:w="989" w:type="dxa"/>
                  <w:tcBorders>
                    <w:tl2br w:val="nil"/>
                    <w:tr2bl w:val="nil"/>
                  </w:tcBorders>
                  <w:vAlign w:val="center"/>
                </w:tcPr>
                <w:p>
                  <w:pPr>
                    <w:adjustRightInd w:val="0"/>
                    <w:snapToGrid w:val="0"/>
                    <w:jc w:val="center"/>
                    <w:textAlignment w:val="baseline"/>
                    <w:rPr>
                      <w:szCs w:val="21"/>
                    </w:rPr>
                  </w:pPr>
                  <w:r>
                    <w:rPr>
                      <w:rFonts w:hint="eastAsia"/>
                      <w:szCs w:val="21"/>
                    </w:rPr>
                    <w:t>500</w:t>
                  </w:r>
                </w:p>
              </w:tc>
              <w:tc>
                <w:tcPr>
                  <w:tcW w:w="1066" w:type="dxa"/>
                  <w:tcBorders>
                    <w:tl2br w:val="nil"/>
                    <w:tr2bl w:val="nil"/>
                  </w:tcBorders>
                  <w:vAlign w:val="center"/>
                </w:tcPr>
                <w:p>
                  <w:pPr>
                    <w:adjustRightInd w:val="0"/>
                    <w:snapToGrid w:val="0"/>
                    <w:jc w:val="center"/>
                    <w:textAlignment w:val="baseline"/>
                    <w:rPr>
                      <w:szCs w:val="21"/>
                    </w:rPr>
                  </w:pPr>
                  <w:r>
                    <w:rPr>
                      <w:rFonts w:hint="eastAsia"/>
                      <w:szCs w:val="21"/>
                    </w:rPr>
                    <w:t>25</w:t>
                  </w:r>
                </w:p>
              </w:tc>
              <w:tc>
                <w:tcPr>
                  <w:tcW w:w="1084" w:type="dxa"/>
                  <w:tcBorders>
                    <w:tl2br w:val="nil"/>
                    <w:tr2bl w:val="nil"/>
                  </w:tcBorders>
                  <w:vAlign w:val="center"/>
                </w:tcPr>
                <w:p>
                  <w:pPr>
                    <w:adjustRightInd w:val="0"/>
                    <w:snapToGrid w:val="0"/>
                    <w:jc w:val="center"/>
                    <w:textAlignment w:val="baseline"/>
                    <w:rPr>
                      <w:szCs w:val="21"/>
                    </w:rPr>
                  </w:pPr>
                  <w:r>
                    <w:rPr>
                      <w:rFonts w:hint="eastAsia"/>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vAlign w:val="center"/>
                </w:tcPr>
                <w:p>
                  <w:pPr>
                    <w:adjustRightInd w:val="0"/>
                    <w:snapToGrid w:val="0"/>
                    <w:jc w:val="center"/>
                    <w:textAlignment w:val="baseline"/>
                    <w:rPr>
                      <w:color w:val="000000"/>
                      <w:szCs w:val="21"/>
                    </w:rPr>
                  </w:pPr>
                </w:p>
              </w:tc>
              <w:tc>
                <w:tcPr>
                  <w:tcW w:w="2427" w:type="dxa"/>
                  <w:gridSpan w:val="2"/>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达标情况</w:t>
                  </w:r>
                </w:p>
              </w:tc>
              <w:tc>
                <w:tcPr>
                  <w:tcW w:w="1343" w:type="dxa"/>
                  <w:tcBorders>
                    <w:tl2br w:val="nil"/>
                    <w:tr2bl w:val="nil"/>
                  </w:tcBorders>
                  <w:vAlign w:val="center"/>
                </w:tcPr>
                <w:p>
                  <w:pPr>
                    <w:adjustRightInd w:val="0"/>
                    <w:snapToGrid w:val="0"/>
                    <w:jc w:val="center"/>
                    <w:textAlignment w:val="baseline"/>
                    <w:rPr>
                      <w:b/>
                      <w:bCs/>
                      <w:color w:val="000000"/>
                      <w:szCs w:val="21"/>
                    </w:rPr>
                  </w:pPr>
                  <w:r>
                    <w:rPr>
                      <w:rFonts w:hint="eastAsia"/>
                      <w:b/>
                      <w:bCs/>
                      <w:color w:val="000000"/>
                      <w:szCs w:val="21"/>
                    </w:rPr>
                    <w:t>达标</w:t>
                  </w:r>
                </w:p>
              </w:tc>
              <w:tc>
                <w:tcPr>
                  <w:tcW w:w="1178"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989"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1066"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c>
                <w:tcPr>
                  <w:tcW w:w="1084" w:type="dxa"/>
                  <w:tcBorders>
                    <w:tl2br w:val="nil"/>
                    <w:tr2bl w:val="nil"/>
                  </w:tcBorders>
                  <w:vAlign w:val="center"/>
                </w:tcPr>
                <w:p>
                  <w:pPr>
                    <w:adjustRightInd w:val="0"/>
                    <w:snapToGrid w:val="0"/>
                    <w:jc w:val="center"/>
                    <w:textAlignment w:val="baseline"/>
                    <w:rPr>
                      <w:b/>
                      <w:bCs/>
                      <w:color w:val="000000"/>
                      <w:szCs w:val="21"/>
                    </w:rPr>
                  </w:pPr>
                  <w:r>
                    <w:rPr>
                      <w:b/>
                      <w:bCs/>
                      <w:color w:val="000000"/>
                      <w:szCs w:val="21"/>
                    </w:rPr>
                    <w:t>达标</w:t>
                  </w:r>
                </w:p>
              </w:tc>
            </w:tr>
          </w:tbl>
          <w:p>
            <w:pPr>
              <w:spacing w:line="360" w:lineRule="auto"/>
              <w:ind w:firstLine="480" w:firstLineChars="200"/>
              <w:rPr>
                <w:color w:val="000000"/>
                <w:sz w:val="24"/>
              </w:rPr>
            </w:pPr>
            <w:r>
              <w:rPr>
                <w:bCs/>
                <w:color w:val="000000"/>
                <w:sz w:val="24"/>
              </w:rPr>
              <w:t>验收监测结果表明：验收监测期间</w:t>
            </w:r>
            <w:r>
              <w:rPr>
                <w:color w:val="000000"/>
                <w:sz w:val="24"/>
              </w:rPr>
              <w:t>，项目总排口出水水质稳定，各项因子</w:t>
            </w:r>
            <w:r>
              <w:rPr>
                <w:rFonts w:hint="eastAsia"/>
                <w:color w:val="000000"/>
                <w:sz w:val="24"/>
              </w:rPr>
              <w:t>pH、</w:t>
            </w:r>
            <w:r>
              <w:rPr>
                <w:color w:val="000000"/>
                <w:sz w:val="24"/>
              </w:rPr>
              <w:t>COD、BOD</w:t>
            </w:r>
            <w:r>
              <w:rPr>
                <w:color w:val="000000"/>
                <w:sz w:val="24"/>
                <w:vertAlign w:val="subscript"/>
              </w:rPr>
              <w:t>5</w:t>
            </w:r>
            <w:r>
              <w:rPr>
                <w:color w:val="000000"/>
                <w:sz w:val="24"/>
              </w:rPr>
              <w:t>、氨氮和SS日均值监测指标符合本次验收采用</w:t>
            </w:r>
            <w:r>
              <w:rPr>
                <w:rFonts w:hint="eastAsia"/>
                <w:color w:val="000000"/>
                <w:sz w:val="24"/>
              </w:rPr>
              <w:t>的联熹</w:t>
            </w:r>
            <w:r>
              <w:rPr>
                <w:sz w:val="24"/>
              </w:rPr>
              <w:t>污水处理厂</w:t>
            </w:r>
            <w:r>
              <w:rPr>
                <w:sz w:val="24"/>
                <w:szCs w:val="18"/>
              </w:rPr>
              <w:t>接管</w:t>
            </w:r>
            <w:r>
              <w:rPr>
                <w:color w:val="000000"/>
                <w:sz w:val="24"/>
                <w:szCs w:val="18"/>
              </w:rPr>
              <w:t>标准要求</w:t>
            </w:r>
            <w:r>
              <w:rPr>
                <w:rFonts w:hint="eastAsia"/>
                <w:color w:val="000000"/>
                <w:sz w:val="24"/>
                <w:szCs w:val="18"/>
              </w:rPr>
              <w:t>。</w:t>
            </w:r>
          </w:p>
          <w:p>
            <w:pPr>
              <w:pStyle w:val="4"/>
              <w:spacing w:before="0" w:after="0" w:line="360" w:lineRule="auto"/>
              <w:rPr>
                <w:sz w:val="24"/>
                <w:szCs w:val="24"/>
              </w:rPr>
            </w:pPr>
            <w:r>
              <w:rPr>
                <w:sz w:val="24"/>
                <w:szCs w:val="24"/>
              </w:rPr>
              <w:t>7.2.1 有组织废气监测结果</w:t>
            </w:r>
          </w:p>
          <w:p>
            <w:pPr>
              <w:spacing w:line="360" w:lineRule="auto"/>
              <w:ind w:firstLine="480" w:firstLineChars="200"/>
              <w:jc w:val="left"/>
              <w:rPr>
                <w:bCs/>
                <w:color w:val="000000"/>
                <w:sz w:val="24"/>
              </w:rPr>
            </w:pPr>
            <w:r>
              <w:rPr>
                <w:rFonts w:hint="eastAsia"/>
                <w:bCs/>
                <w:color w:val="000000"/>
                <w:sz w:val="24"/>
              </w:rPr>
              <w:t>高压釜处理废气、上胶、上密封胶工序有机废气</w:t>
            </w:r>
            <w:r>
              <w:rPr>
                <w:bCs/>
                <w:color w:val="000000"/>
                <w:sz w:val="24"/>
              </w:rPr>
              <w:t>检测结果</w:t>
            </w:r>
            <w:r>
              <w:rPr>
                <w:rFonts w:hint="eastAsia"/>
                <w:bCs/>
                <w:color w:val="000000"/>
                <w:sz w:val="24"/>
              </w:rPr>
              <w:t>见下表</w:t>
            </w:r>
          </w:p>
          <w:p>
            <w:pPr>
              <w:pStyle w:val="12"/>
              <w:ind w:firstLine="422"/>
              <w:jc w:val="center"/>
              <w:rPr>
                <w:b/>
                <w:szCs w:val="21"/>
              </w:rPr>
            </w:pPr>
            <w:r>
              <w:rPr>
                <w:rFonts w:hint="eastAsia"/>
                <w:b/>
                <w:color w:val="000000"/>
                <w:szCs w:val="21"/>
              </w:rPr>
              <w:t>表7-3 高压釜处理废气、上胶、上密封胶工序</w:t>
            </w:r>
            <w:r>
              <w:rPr>
                <w:b/>
                <w:color w:val="000000"/>
                <w:szCs w:val="21"/>
              </w:rPr>
              <w:t>废气检测结果</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525"/>
              <w:gridCol w:w="1060"/>
              <w:gridCol w:w="790"/>
              <w:gridCol w:w="893"/>
              <w:gridCol w:w="810"/>
              <w:gridCol w:w="831"/>
              <w:gridCol w:w="852"/>
              <w:gridCol w:w="944"/>
              <w:gridCol w:w="495"/>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exact"/>
                <w:jc w:val="center"/>
              </w:trPr>
              <w:tc>
                <w:tcPr>
                  <w:tcW w:w="2739" w:type="dxa"/>
                  <w:gridSpan w:val="3"/>
                  <w:vAlign w:val="center"/>
                </w:tcPr>
                <w:p>
                  <w:pPr>
                    <w:jc w:val="center"/>
                    <w:rPr>
                      <w:b/>
                      <w:color w:val="000000"/>
                      <w:szCs w:val="21"/>
                    </w:rPr>
                  </w:pPr>
                  <w:r>
                    <w:rPr>
                      <w:b/>
                      <w:color w:val="000000"/>
                      <w:szCs w:val="21"/>
                    </w:rPr>
                    <w:t>排气筒高度（m）</w:t>
                  </w:r>
                </w:p>
              </w:tc>
              <w:tc>
                <w:tcPr>
                  <w:tcW w:w="5120" w:type="dxa"/>
                  <w:gridSpan w:val="6"/>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c>
                <w:tcPr>
                  <w:tcW w:w="495" w:type="dxa"/>
                  <w:vMerge w:val="restart"/>
                  <w:vAlign w:val="center"/>
                </w:tcPr>
                <w:p>
                  <w:pPr>
                    <w:jc w:val="center"/>
                    <w:rPr>
                      <w:bCs/>
                      <w:color w:val="000000" w:themeColor="text1"/>
                      <w:szCs w:val="21"/>
                      <w14:textFill>
                        <w14:solidFill>
                          <w14:schemeClr w14:val="tx1"/>
                        </w14:solidFill>
                      </w14:textFill>
                    </w:rPr>
                  </w:pPr>
                  <w:r>
                    <w:rPr>
                      <w:b/>
                      <w:color w:val="000000"/>
                    </w:rPr>
                    <w:t>标准限值</w:t>
                  </w:r>
                </w:p>
              </w:tc>
              <w:tc>
                <w:tcPr>
                  <w:tcW w:w="717" w:type="dxa"/>
                  <w:vMerge w:val="restart"/>
                  <w:vAlign w:val="center"/>
                </w:tcPr>
                <w:p>
                  <w:pPr>
                    <w:jc w:val="center"/>
                    <w:rPr>
                      <w:bCs/>
                      <w:color w:val="000000" w:themeColor="text1"/>
                      <w:szCs w:val="21"/>
                      <w14:textFill>
                        <w14:solidFill>
                          <w14:schemeClr w14:val="tx1"/>
                        </w14:solidFill>
                      </w14:textFill>
                    </w:rPr>
                  </w:pPr>
                  <w:r>
                    <w:rPr>
                      <w:b/>
                      <w:color w:val="00000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154" w:type="dxa"/>
                  <w:vMerge w:val="restart"/>
                  <w:vAlign w:val="center"/>
                </w:tcPr>
                <w:p>
                  <w:pPr>
                    <w:adjustRightInd w:val="0"/>
                    <w:snapToGrid w:val="0"/>
                    <w:jc w:val="center"/>
                    <w:textAlignment w:val="baseline"/>
                    <w:rPr>
                      <w:b/>
                      <w:color w:val="000000"/>
                      <w:szCs w:val="21"/>
                    </w:rPr>
                  </w:pPr>
                  <w:r>
                    <w:rPr>
                      <w:b/>
                      <w:color w:val="000000"/>
                      <w:szCs w:val="21"/>
                    </w:rPr>
                    <w:t>采样点位</w:t>
                  </w:r>
                </w:p>
              </w:tc>
              <w:tc>
                <w:tcPr>
                  <w:tcW w:w="1585" w:type="dxa"/>
                  <w:gridSpan w:val="2"/>
                  <w:vMerge w:val="restart"/>
                  <w:vAlign w:val="center"/>
                </w:tcPr>
                <w:p>
                  <w:pPr>
                    <w:adjustRightInd w:val="0"/>
                    <w:snapToGrid w:val="0"/>
                    <w:jc w:val="center"/>
                    <w:textAlignment w:val="baseline"/>
                    <w:rPr>
                      <w:b/>
                      <w:color w:val="000000"/>
                      <w:szCs w:val="21"/>
                    </w:rPr>
                  </w:pPr>
                  <w:r>
                    <w:rPr>
                      <w:b/>
                      <w:color w:val="000000"/>
                      <w:szCs w:val="21"/>
                    </w:rPr>
                    <w:t>项目参数</w:t>
                  </w:r>
                </w:p>
              </w:tc>
              <w:tc>
                <w:tcPr>
                  <w:tcW w:w="2493" w:type="dxa"/>
                  <w:gridSpan w:val="3"/>
                  <w:vAlign w:val="center"/>
                </w:tcPr>
                <w:p>
                  <w:pPr>
                    <w:jc w:val="center"/>
                    <w:rPr>
                      <w:color w:val="000000"/>
                      <w:szCs w:val="21"/>
                    </w:rPr>
                  </w:pPr>
                  <w:r>
                    <w:rPr>
                      <w:color w:val="000000"/>
                      <w:szCs w:val="21"/>
                    </w:rPr>
                    <w:t>20</w:t>
                  </w:r>
                  <w:r>
                    <w:rPr>
                      <w:rFonts w:hint="eastAsia"/>
                      <w:color w:val="000000"/>
                      <w:szCs w:val="21"/>
                    </w:rPr>
                    <w:t>22</w:t>
                  </w:r>
                  <w:r>
                    <w:rPr>
                      <w:color w:val="000000"/>
                      <w:szCs w:val="21"/>
                    </w:rPr>
                    <w:t>年</w:t>
                  </w:r>
                  <w:r>
                    <w:rPr>
                      <w:rFonts w:hint="eastAsia"/>
                      <w:color w:val="000000"/>
                      <w:szCs w:val="21"/>
                    </w:rPr>
                    <w:t>2</w:t>
                  </w:r>
                  <w:r>
                    <w:rPr>
                      <w:color w:val="000000"/>
                      <w:szCs w:val="21"/>
                    </w:rPr>
                    <w:t>月</w:t>
                  </w:r>
                  <w:r>
                    <w:rPr>
                      <w:rFonts w:hint="eastAsia"/>
                      <w:color w:val="000000"/>
                      <w:szCs w:val="21"/>
                      <w:lang w:val="en-US" w:eastAsia="zh-CN"/>
                    </w:rPr>
                    <w:t>9</w:t>
                  </w:r>
                  <w:r>
                    <w:rPr>
                      <w:color w:val="000000"/>
                      <w:szCs w:val="21"/>
                    </w:rPr>
                    <w:t>日</w:t>
                  </w:r>
                </w:p>
              </w:tc>
              <w:tc>
                <w:tcPr>
                  <w:tcW w:w="2627" w:type="dxa"/>
                  <w:gridSpan w:val="3"/>
                  <w:vAlign w:val="center"/>
                </w:tcPr>
                <w:p>
                  <w:pPr>
                    <w:jc w:val="center"/>
                    <w:rPr>
                      <w:color w:val="000000"/>
                      <w:szCs w:val="21"/>
                    </w:rPr>
                  </w:pPr>
                  <w:r>
                    <w:rPr>
                      <w:color w:val="000000"/>
                      <w:szCs w:val="21"/>
                    </w:rPr>
                    <w:t>20</w:t>
                  </w:r>
                  <w:r>
                    <w:rPr>
                      <w:rFonts w:hint="eastAsia"/>
                      <w:color w:val="000000"/>
                      <w:szCs w:val="21"/>
                    </w:rPr>
                    <w:t>22</w:t>
                  </w:r>
                  <w:r>
                    <w:rPr>
                      <w:color w:val="000000"/>
                      <w:szCs w:val="21"/>
                    </w:rPr>
                    <w:t>年</w:t>
                  </w:r>
                  <w:r>
                    <w:rPr>
                      <w:rFonts w:hint="eastAsia"/>
                      <w:color w:val="000000"/>
                      <w:szCs w:val="21"/>
                    </w:rPr>
                    <w:t>2</w:t>
                  </w:r>
                  <w:r>
                    <w:rPr>
                      <w:color w:val="000000"/>
                      <w:szCs w:val="21"/>
                    </w:rPr>
                    <w:t>月</w:t>
                  </w:r>
                  <w:r>
                    <w:rPr>
                      <w:rFonts w:hint="eastAsia"/>
                      <w:color w:val="000000"/>
                      <w:szCs w:val="21"/>
                      <w:lang w:val="en-US" w:eastAsia="zh-CN"/>
                    </w:rPr>
                    <w:t>10</w:t>
                  </w:r>
                  <w:r>
                    <w:rPr>
                      <w:color w:val="000000"/>
                      <w:szCs w:val="21"/>
                    </w:rPr>
                    <w:t>日</w:t>
                  </w:r>
                </w:p>
              </w:tc>
              <w:tc>
                <w:tcPr>
                  <w:tcW w:w="495" w:type="dxa"/>
                  <w:vMerge w:val="continue"/>
                  <w:vAlign w:val="center"/>
                </w:tcPr>
                <w:p>
                  <w:pPr>
                    <w:jc w:val="center"/>
                    <w:rPr>
                      <w:color w:val="000000"/>
                      <w:szCs w:val="21"/>
                    </w:rPr>
                  </w:pPr>
                </w:p>
              </w:tc>
              <w:tc>
                <w:tcPr>
                  <w:tcW w:w="717" w:type="dxa"/>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154" w:type="dxa"/>
                  <w:vMerge w:val="continue"/>
                  <w:vAlign w:val="center"/>
                </w:tcPr>
                <w:p>
                  <w:pPr>
                    <w:adjustRightInd w:val="0"/>
                    <w:snapToGrid w:val="0"/>
                    <w:jc w:val="center"/>
                    <w:textAlignment w:val="baseline"/>
                    <w:rPr>
                      <w:b/>
                      <w:color w:val="000000"/>
                      <w:szCs w:val="21"/>
                    </w:rPr>
                  </w:pPr>
                </w:p>
              </w:tc>
              <w:tc>
                <w:tcPr>
                  <w:tcW w:w="1585" w:type="dxa"/>
                  <w:gridSpan w:val="2"/>
                  <w:vMerge w:val="continue"/>
                  <w:vAlign w:val="center"/>
                </w:tcPr>
                <w:p>
                  <w:pPr>
                    <w:adjustRightInd w:val="0"/>
                    <w:snapToGrid w:val="0"/>
                    <w:jc w:val="center"/>
                    <w:textAlignment w:val="baseline"/>
                    <w:rPr>
                      <w:b/>
                      <w:color w:val="000000"/>
                      <w:szCs w:val="21"/>
                    </w:rPr>
                  </w:pPr>
                </w:p>
              </w:tc>
              <w:tc>
                <w:tcPr>
                  <w:tcW w:w="790" w:type="dxa"/>
                  <w:vAlign w:val="center"/>
                </w:tcPr>
                <w:p>
                  <w:pPr>
                    <w:jc w:val="center"/>
                    <w:rPr>
                      <w:color w:val="000000"/>
                      <w:szCs w:val="21"/>
                    </w:rPr>
                  </w:pPr>
                  <w:r>
                    <w:rPr>
                      <w:rFonts w:hint="eastAsia" w:ascii="宋体" w:hAnsi="宋体" w:cs="宋体"/>
                      <w:color w:val="000000"/>
                      <w:szCs w:val="21"/>
                    </w:rPr>
                    <w:t>Ⅰ</w:t>
                  </w:r>
                </w:p>
              </w:tc>
              <w:tc>
                <w:tcPr>
                  <w:tcW w:w="893" w:type="dxa"/>
                  <w:vAlign w:val="center"/>
                </w:tcPr>
                <w:p>
                  <w:pPr>
                    <w:jc w:val="center"/>
                    <w:rPr>
                      <w:color w:val="000000"/>
                      <w:szCs w:val="21"/>
                    </w:rPr>
                  </w:pPr>
                  <w:r>
                    <w:rPr>
                      <w:rFonts w:hint="eastAsia" w:ascii="宋体" w:hAnsi="宋体" w:cs="宋体"/>
                      <w:color w:val="000000"/>
                      <w:szCs w:val="21"/>
                    </w:rPr>
                    <w:t>Ⅱ</w:t>
                  </w:r>
                </w:p>
              </w:tc>
              <w:tc>
                <w:tcPr>
                  <w:tcW w:w="810" w:type="dxa"/>
                  <w:vAlign w:val="center"/>
                </w:tcPr>
                <w:p>
                  <w:pPr>
                    <w:jc w:val="center"/>
                    <w:rPr>
                      <w:color w:val="000000"/>
                      <w:szCs w:val="21"/>
                    </w:rPr>
                  </w:pPr>
                  <w:r>
                    <w:rPr>
                      <w:rFonts w:hint="eastAsia" w:ascii="宋体" w:hAnsi="宋体" w:cs="宋体"/>
                      <w:color w:val="000000"/>
                      <w:szCs w:val="21"/>
                    </w:rPr>
                    <w:t>Ⅲ</w:t>
                  </w:r>
                </w:p>
              </w:tc>
              <w:tc>
                <w:tcPr>
                  <w:tcW w:w="831" w:type="dxa"/>
                  <w:vAlign w:val="center"/>
                </w:tcPr>
                <w:p>
                  <w:pPr>
                    <w:jc w:val="center"/>
                    <w:rPr>
                      <w:color w:val="000000"/>
                      <w:szCs w:val="21"/>
                    </w:rPr>
                  </w:pPr>
                  <w:r>
                    <w:rPr>
                      <w:rFonts w:hint="eastAsia" w:ascii="宋体" w:hAnsi="宋体" w:cs="宋体"/>
                      <w:color w:val="000000"/>
                      <w:szCs w:val="21"/>
                    </w:rPr>
                    <w:t>Ⅰ</w:t>
                  </w:r>
                </w:p>
              </w:tc>
              <w:tc>
                <w:tcPr>
                  <w:tcW w:w="852" w:type="dxa"/>
                  <w:vAlign w:val="center"/>
                </w:tcPr>
                <w:p>
                  <w:pPr>
                    <w:jc w:val="center"/>
                    <w:rPr>
                      <w:color w:val="000000"/>
                      <w:szCs w:val="21"/>
                    </w:rPr>
                  </w:pPr>
                  <w:r>
                    <w:rPr>
                      <w:rFonts w:hint="eastAsia" w:ascii="宋体" w:hAnsi="宋体" w:cs="宋体"/>
                      <w:color w:val="000000"/>
                      <w:szCs w:val="21"/>
                    </w:rPr>
                    <w:t>Ⅱ</w:t>
                  </w:r>
                </w:p>
              </w:tc>
              <w:tc>
                <w:tcPr>
                  <w:tcW w:w="944" w:type="dxa"/>
                  <w:vAlign w:val="center"/>
                </w:tcPr>
                <w:p>
                  <w:pPr>
                    <w:jc w:val="center"/>
                    <w:rPr>
                      <w:color w:val="000000"/>
                      <w:szCs w:val="21"/>
                    </w:rPr>
                  </w:pPr>
                  <w:r>
                    <w:rPr>
                      <w:rFonts w:hint="eastAsia" w:ascii="宋体" w:hAnsi="宋体" w:cs="宋体"/>
                      <w:color w:val="000000"/>
                      <w:szCs w:val="21"/>
                    </w:rPr>
                    <w:t>Ⅲ</w:t>
                  </w:r>
                </w:p>
              </w:tc>
              <w:tc>
                <w:tcPr>
                  <w:tcW w:w="495" w:type="dxa"/>
                  <w:vMerge w:val="continue"/>
                  <w:vAlign w:val="center"/>
                </w:tcPr>
                <w:p>
                  <w:pPr>
                    <w:jc w:val="center"/>
                    <w:rPr>
                      <w:rFonts w:ascii="宋体" w:hAnsi="宋体" w:cs="宋体"/>
                      <w:color w:val="000000"/>
                      <w:szCs w:val="21"/>
                    </w:rPr>
                  </w:pPr>
                </w:p>
              </w:tc>
              <w:tc>
                <w:tcPr>
                  <w:tcW w:w="717" w:type="dxa"/>
                  <w:vMerge w:val="continue"/>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154" w:type="dxa"/>
                  <w:vMerge w:val="restart"/>
                  <w:vAlign w:val="center"/>
                </w:tcPr>
                <w:p>
                  <w:pPr>
                    <w:adjustRightInd w:val="0"/>
                    <w:jc w:val="center"/>
                    <w:textAlignment w:val="baseline"/>
                    <w:rPr>
                      <w:szCs w:val="21"/>
                    </w:rPr>
                  </w:pPr>
                  <w:r>
                    <w:rPr>
                      <w:rFonts w:hint="eastAsia"/>
                      <w:color w:val="000000"/>
                      <w:szCs w:val="21"/>
                    </w:rPr>
                    <w:t>高压釜处理废气、上胶、上密封胶工序排气筒进口</w:t>
                  </w:r>
                </w:p>
              </w:tc>
              <w:tc>
                <w:tcPr>
                  <w:tcW w:w="1585" w:type="dxa"/>
                  <w:gridSpan w:val="2"/>
                  <w:vAlign w:val="center"/>
                </w:tcPr>
                <w:p>
                  <w:pPr>
                    <w:adjustRightInd w:val="0"/>
                    <w:jc w:val="center"/>
                    <w:textAlignment w:val="baseline"/>
                    <w:rPr>
                      <w:color w:val="000000"/>
                      <w:szCs w:val="21"/>
                    </w:rPr>
                  </w:pPr>
                  <w:r>
                    <w:rPr>
                      <w:color w:val="000000"/>
                      <w:szCs w:val="21"/>
                    </w:rPr>
                    <w:t>标干流量（m³/h）</w:t>
                  </w:r>
                </w:p>
              </w:tc>
              <w:tc>
                <w:tcPr>
                  <w:tcW w:w="790" w:type="dxa"/>
                  <w:vAlign w:val="center"/>
                </w:tcPr>
                <w:p>
                  <w:pPr>
                    <w:jc w:val="center"/>
                    <w:rPr>
                      <w:color w:val="000000"/>
                      <w:szCs w:val="21"/>
                    </w:rPr>
                  </w:pPr>
                  <w:r>
                    <w:rPr>
                      <w:rFonts w:hint="eastAsia"/>
                      <w:color w:val="000000"/>
                      <w:szCs w:val="21"/>
                    </w:rPr>
                    <w:t>20768</w:t>
                  </w:r>
                </w:p>
              </w:tc>
              <w:tc>
                <w:tcPr>
                  <w:tcW w:w="893" w:type="dxa"/>
                  <w:vAlign w:val="center"/>
                </w:tcPr>
                <w:p>
                  <w:pPr>
                    <w:jc w:val="center"/>
                    <w:rPr>
                      <w:color w:val="000000"/>
                      <w:szCs w:val="21"/>
                    </w:rPr>
                  </w:pPr>
                  <w:r>
                    <w:rPr>
                      <w:rFonts w:hint="eastAsia"/>
                      <w:color w:val="000000"/>
                      <w:szCs w:val="21"/>
                    </w:rPr>
                    <w:t>21132</w:t>
                  </w:r>
                </w:p>
              </w:tc>
              <w:tc>
                <w:tcPr>
                  <w:tcW w:w="810" w:type="dxa"/>
                  <w:vAlign w:val="center"/>
                </w:tcPr>
                <w:p>
                  <w:pPr>
                    <w:jc w:val="center"/>
                    <w:rPr>
                      <w:color w:val="000000"/>
                      <w:szCs w:val="21"/>
                    </w:rPr>
                  </w:pPr>
                  <w:r>
                    <w:rPr>
                      <w:rFonts w:hint="eastAsia"/>
                      <w:color w:val="000000"/>
                      <w:szCs w:val="21"/>
                    </w:rPr>
                    <w:t>20947</w:t>
                  </w:r>
                </w:p>
              </w:tc>
              <w:tc>
                <w:tcPr>
                  <w:tcW w:w="831" w:type="dxa"/>
                  <w:vAlign w:val="center"/>
                </w:tcPr>
                <w:p>
                  <w:pPr>
                    <w:jc w:val="center"/>
                    <w:rPr>
                      <w:color w:val="000000"/>
                      <w:szCs w:val="21"/>
                    </w:rPr>
                  </w:pPr>
                  <w:r>
                    <w:rPr>
                      <w:rFonts w:hint="eastAsia"/>
                      <w:color w:val="000000"/>
                      <w:szCs w:val="21"/>
                    </w:rPr>
                    <w:t>20948</w:t>
                  </w:r>
                </w:p>
              </w:tc>
              <w:tc>
                <w:tcPr>
                  <w:tcW w:w="852" w:type="dxa"/>
                  <w:vAlign w:val="center"/>
                </w:tcPr>
                <w:p>
                  <w:pPr>
                    <w:jc w:val="center"/>
                    <w:rPr>
                      <w:color w:val="000000"/>
                      <w:szCs w:val="21"/>
                    </w:rPr>
                  </w:pPr>
                  <w:r>
                    <w:rPr>
                      <w:rFonts w:hint="eastAsia"/>
                      <w:color w:val="000000"/>
                      <w:szCs w:val="21"/>
                    </w:rPr>
                    <w:t>21315</w:t>
                  </w:r>
                </w:p>
              </w:tc>
              <w:tc>
                <w:tcPr>
                  <w:tcW w:w="944" w:type="dxa"/>
                  <w:vAlign w:val="center"/>
                </w:tcPr>
                <w:p>
                  <w:pPr>
                    <w:jc w:val="center"/>
                    <w:rPr>
                      <w:color w:val="000000"/>
                      <w:szCs w:val="21"/>
                    </w:rPr>
                  </w:pPr>
                  <w:r>
                    <w:rPr>
                      <w:rFonts w:hint="eastAsia"/>
                      <w:color w:val="000000"/>
                      <w:szCs w:val="21"/>
                    </w:rPr>
                    <w:t>21547</w:t>
                  </w:r>
                </w:p>
              </w:tc>
              <w:tc>
                <w:tcPr>
                  <w:tcW w:w="495" w:type="dxa"/>
                  <w:vAlign w:val="center"/>
                </w:tcPr>
                <w:p>
                  <w:pPr>
                    <w:adjustRightInd w:val="0"/>
                    <w:jc w:val="center"/>
                    <w:textAlignment w:val="baseline"/>
                    <w:rPr>
                      <w:color w:val="000000"/>
                      <w:szCs w:val="21"/>
                    </w:rPr>
                  </w:pPr>
                  <w:r>
                    <w:rPr>
                      <w:rFonts w:hint="eastAsia"/>
                      <w:color w:val="000000"/>
                      <w:szCs w:val="21"/>
                    </w:rPr>
                    <w:t>/</w:t>
                  </w:r>
                </w:p>
              </w:tc>
              <w:tc>
                <w:tcPr>
                  <w:tcW w:w="717" w:type="dxa"/>
                  <w:vAlign w:val="center"/>
                </w:tcPr>
                <w:p>
                  <w:pPr>
                    <w:adjustRightInd w:val="0"/>
                    <w:jc w:val="center"/>
                    <w:textAlignment w:val="baseline"/>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154" w:type="dxa"/>
                  <w:vMerge w:val="continue"/>
                  <w:vAlign w:val="center"/>
                </w:tcPr>
                <w:p>
                  <w:pPr>
                    <w:adjustRightInd w:val="0"/>
                    <w:jc w:val="center"/>
                    <w:textAlignment w:val="baseline"/>
                    <w:rPr>
                      <w:szCs w:val="21"/>
                    </w:rPr>
                  </w:pPr>
                </w:p>
              </w:tc>
              <w:tc>
                <w:tcPr>
                  <w:tcW w:w="525" w:type="dxa"/>
                  <w:vMerge w:val="restart"/>
                  <w:vAlign w:val="center"/>
                </w:tcPr>
                <w:p>
                  <w:pPr>
                    <w:adjustRightInd w:val="0"/>
                    <w:jc w:val="center"/>
                    <w:textAlignment w:val="baseline"/>
                    <w:rPr>
                      <w:color w:val="000000"/>
                      <w:szCs w:val="21"/>
                    </w:rPr>
                  </w:pPr>
                  <w:r>
                    <w:rPr>
                      <w:rFonts w:hint="eastAsia"/>
                      <w:color w:val="000000"/>
                      <w:szCs w:val="21"/>
                    </w:rPr>
                    <w:t>非甲烷总烃</w:t>
                  </w:r>
                </w:p>
              </w:tc>
              <w:tc>
                <w:tcPr>
                  <w:tcW w:w="1060" w:type="dxa"/>
                  <w:vAlign w:val="center"/>
                </w:tcPr>
                <w:p>
                  <w:pPr>
                    <w:adjustRightInd w:val="0"/>
                    <w:jc w:val="center"/>
                    <w:textAlignment w:val="baseline"/>
                    <w:rPr>
                      <w:rFonts w:hint="default" w:eastAsia="宋体"/>
                      <w:color w:val="auto"/>
                      <w:szCs w:val="21"/>
                      <w:lang w:val="en-US" w:eastAsia="zh-CN"/>
                    </w:rPr>
                  </w:pPr>
                  <w:r>
                    <w:rPr>
                      <w:rFonts w:hint="eastAsia"/>
                      <w:color w:val="auto"/>
                      <w:szCs w:val="21"/>
                      <w:lang w:val="en-US" w:eastAsia="zh-CN"/>
                    </w:rPr>
                    <w:t>实测浓度（</w:t>
                  </w:r>
                  <w:r>
                    <w:rPr>
                      <w:color w:val="auto"/>
                      <w:szCs w:val="21"/>
                    </w:rPr>
                    <w:t>mg/m³</w:t>
                  </w:r>
                  <w:r>
                    <w:rPr>
                      <w:rFonts w:hint="eastAsia"/>
                      <w:color w:val="auto"/>
                      <w:szCs w:val="21"/>
                      <w:lang w:val="en-US" w:eastAsia="zh-CN"/>
                    </w:rPr>
                    <w:t>）</w:t>
                  </w:r>
                </w:p>
              </w:tc>
              <w:tc>
                <w:tcPr>
                  <w:tcW w:w="790"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23.2</w:t>
                  </w:r>
                </w:p>
              </w:tc>
              <w:tc>
                <w:tcPr>
                  <w:tcW w:w="893"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21.8</w:t>
                  </w:r>
                </w:p>
              </w:tc>
              <w:tc>
                <w:tcPr>
                  <w:tcW w:w="810"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22.5</w:t>
                  </w:r>
                </w:p>
              </w:tc>
              <w:tc>
                <w:tcPr>
                  <w:tcW w:w="831"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21.6</w:t>
                  </w:r>
                </w:p>
              </w:tc>
              <w:tc>
                <w:tcPr>
                  <w:tcW w:w="852"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20.8</w:t>
                  </w:r>
                </w:p>
              </w:tc>
              <w:tc>
                <w:tcPr>
                  <w:tcW w:w="944" w:type="dxa"/>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22.7</w:t>
                  </w:r>
                </w:p>
              </w:tc>
              <w:tc>
                <w:tcPr>
                  <w:tcW w:w="495"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7" w:type="dxa"/>
                  <w:vAlign w:val="center"/>
                </w:tcPr>
                <w:p>
                  <w:pPr>
                    <w:adjustRightInd w:val="0"/>
                    <w:jc w:val="center"/>
                    <w:textAlignment w:val="baseline"/>
                    <w:rPr>
                      <w:rFonts w:hint="eastAsia" w:eastAsia="宋体"/>
                      <w:color w:val="000000"/>
                      <w:szCs w:val="21"/>
                      <w:lang w:val="en-US" w:eastAsia="zh-CN"/>
                    </w:rPr>
                  </w:pPr>
                  <w:r>
                    <w:rPr>
                      <w:rFonts w:hint="eastAsia"/>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154" w:type="dxa"/>
                  <w:vMerge w:val="continue"/>
                  <w:vAlign w:val="center"/>
                </w:tcPr>
                <w:p>
                  <w:pPr>
                    <w:adjustRightInd w:val="0"/>
                    <w:jc w:val="center"/>
                    <w:textAlignment w:val="baseline"/>
                    <w:rPr>
                      <w:szCs w:val="21"/>
                    </w:rPr>
                  </w:pPr>
                </w:p>
              </w:tc>
              <w:tc>
                <w:tcPr>
                  <w:tcW w:w="525" w:type="dxa"/>
                  <w:vMerge w:val="continue"/>
                  <w:vAlign w:val="center"/>
                </w:tcPr>
                <w:p>
                  <w:pPr>
                    <w:adjustRightInd w:val="0"/>
                    <w:jc w:val="center"/>
                    <w:textAlignment w:val="baseline"/>
                    <w:rPr>
                      <w:color w:val="000000"/>
                      <w:szCs w:val="21"/>
                    </w:rPr>
                  </w:pPr>
                </w:p>
              </w:tc>
              <w:tc>
                <w:tcPr>
                  <w:tcW w:w="1060" w:type="dxa"/>
                  <w:vAlign w:val="center"/>
                </w:tcPr>
                <w:p>
                  <w:pPr>
                    <w:adjustRightInd w:val="0"/>
                    <w:jc w:val="center"/>
                    <w:textAlignment w:val="baseline"/>
                    <w:rPr>
                      <w:color w:val="000000"/>
                      <w:szCs w:val="21"/>
                    </w:rPr>
                  </w:pPr>
                  <w:r>
                    <w:rPr>
                      <w:color w:val="000000"/>
                      <w:szCs w:val="21"/>
                    </w:rPr>
                    <w:t>排放浓度（mg/m³）</w:t>
                  </w:r>
                </w:p>
              </w:tc>
              <w:tc>
                <w:tcPr>
                  <w:tcW w:w="790" w:type="dxa"/>
                  <w:vAlign w:val="center"/>
                </w:tcPr>
                <w:p>
                  <w:pPr>
                    <w:jc w:val="center"/>
                    <w:rPr>
                      <w:color w:val="000000"/>
                      <w:szCs w:val="21"/>
                    </w:rPr>
                  </w:pPr>
                  <w:r>
                    <w:rPr>
                      <w:rFonts w:hint="eastAsia"/>
                      <w:color w:val="000000"/>
                      <w:szCs w:val="21"/>
                    </w:rPr>
                    <w:t>-</w:t>
                  </w:r>
                </w:p>
              </w:tc>
              <w:tc>
                <w:tcPr>
                  <w:tcW w:w="893" w:type="dxa"/>
                  <w:vAlign w:val="center"/>
                </w:tcPr>
                <w:p>
                  <w:pPr>
                    <w:jc w:val="center"/>
                    <w:rPr>
                      <w:color w:val="000000"/>
                      <w:szCs w:val="21"/>
                    </w:rPr>
                  </w:pPr>
                  <w:r>
                    <w:rPr>
                      <w:rFonts w:hint="eastAsia"/>
                      <w:color w:val="000000"/>
                      <w:szCs w:val="21"/>
                    </w:rPr>
                    <w:t>-</w:t>
                  </w:r>
                </w:p>
              </w:tc>
              <w:tc>
                <w:tcPr>
                  <w:tcW w:w="810" w:type="dxa"/>
                  <w:vAlign w:val="center"/>
                </w:tcPr>
                <w:p>
                  <w:pPr>
                    <w:jc w:val="center"/>
                    <w:rPr>
                      <w:color w:val="000000"/>
                      <w:szCs w:val="21"/>
                    </w:rPr>
                  </w:pPr>
                  <w:r>
                    <w:rPr>
                      <w:rFonts w:hint="eastAsia"/>
                      <w:color w:val="000000"/>
                      <w:szCs w:val="21"/>
                    </w:rPr>
                    <w:t>-</w:t>
                  </w:r>
                </w:p>
              </w:tc>
              <w:tc>
                <w:tcPr>
                  <w:tcW w:w="831" w:type="dxa"/>
                  <w:vAlign w:val="center"/>
                </w:tcPr>
                <w:p>
                  <w:pPr>
                    <w:jc w:val="center"/>
                    <w:rPr>
                      <w:color w:val="000000"/>
                      <w:szCs w:val="21"/>
                    </w:rPr>
                  </w:pPr>
                  <w:r>
                    <w:rPr>
                      <w:rFonts w:hint="eastAsia"/>
                      <w:color w:val="000000"/>
                      <w:szCs w:val="21"/>
                    </w:rPr>
                    <w:t>-</w:t>
                  </w:r>
                </w:p>
              </w:tc>
              <w:tc>
                <w:tcPr>
                  <w:tcW w:w="852" w:type="dxa"/>
                  <w:vAlign w:val="center"/>
                </w:tcPr>
                <w:p>
                  <w:pPr>
                    <w:jc w:val="center"/>
                    <w:rPr>
                      <w:color w:val="000000"/>
                      <w:szCs w:val="21"/>
                    </w:rPr>
                  </w:pPr>
                  <w:r>
                    <w:rPr>
                      <w:rFonts w:hint="eastAsia"/>
                      <w:color w:val="000000"/>
                      <w:szCs w:val="21"/>
                    </w:rPr>
                    <w:t>-</w:t>
                  </w:r>
                </w:p>
              </w:tc>
              <w:tc>
                <w:tcPr>
                  <w:tcW w:w="944" w:type="dxa"/>
                  <w:vAlign w:val="center"/>
                </w:tcPr>
                <w:p>
                  <w:pPr>
                    <w:jc w:val="center"/>
                    <w:rPr>
                      <w:color w:val="000000"/>
                      <w:szCs w:val="21"/>
                    </w:rPr>
                  </w:pPr>
                  <w:r>
                    <w:rPr>
                      <w:rFonts w:hint="eastAsia"/>
                      <w:color w:val="000000"/>
                      <w:szCs w:val="21"/>
                    </w:rPr>
                    <w:t>-</w:t>
                  </w:r>
                </w:p>
              </w:tc>
              <w:tc>
                <w:tcPr>
                  <w:tcW w:w="495" w:type="dxa"/>
                  <w:vAlign w:val="center"/>
                </w:tcPr>
                <w:p>
                  <w:pPr>
                    <w:adjustRightInd w:val="0"/>
                    <w:jc w:val="center"/>
                    <w:textAlignment w:val="baseline"/>
                    <w:rPr>
                      <w:color w:val="FF0000"/>
                      <w:szCs w:val="21"/>
                    </w:rPr>
                  </w:pPr>
                  <w:r>
                    <w:rPr>
                      <w:rFonts w:hint="eastAsia"/>
                      <w:color w:val="000000"/>
                      <w:szCs w:val="21"/>
                    </w:rPr>
                    <w:t>/</w:t>
                  </w:r>
                </w:p>
              </w:tc>
              <w:tc>
                <w:tcPr>
                  <w:tcW w:w="717" w:type="dxa"/>
                  <w:vAlign w:val="center"/>
                </w:tcPr>
                <w:p>
                  <w:pPr>
                    <w:adjustRightInd w:val="0"/>
                    <w:jc w:val="center"/>
                    <w:textAlignment w:val="baseline"/>
                    <w:rPr>
                      <w:b/>
                      <w:bCs/>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1" w:hRule="exact"/>
                <w:jc w:val="center"/>
              </w:trPr>
              <w:tc>
                <w:tcPr>
                  <w:tcW w:w="1154" w:type="dxa"/>
                  <w:vMerge w:val="continue"/>
                  <w:vAlign w:val="center"/>
                </w:tcPr>
                <w:p>
                  <w:pPr>
                    <w:adjustRightInd w:val="0"/>
                    <w:jc w:val="center"/>
                    <w:textAlignment w:val="baseline"/>
                    <w:rPr>
                      <w:szCs w:val="21"/>
                    </w:rPr>
                  </w:pPr>
                </w:p>
              </w:tc>
              <w:tc>
                <w:tcPr>
                  <w:tcW w:w="525" w:type="dxa"/>
                  <w:vMerge w:val="continue"/>
                  <w:vAlign w:val="center"/>
                </w:tcPr>
                <w:p>
                  <w:pPr>
                    <w:adjustRightInd w:val="0"/>
                    <w:jc w:val="center"/>
                    <w:textAlignment w:val="baseline"/>
                    <w:rPr>
                      <w:color w:val="000000"/>
                      <w:szCs w:val="21"/>
                    </w:rPr>
                  </w:pPr>
                </w:p>
              </w:tc>
              <w:tc>
                <w:tcPr>
                  <w:tcW w:w="1060" w:type="dxa"/>
                  <w:vAlign w:val="center"/>
                </w:tcPr>
                <w:p>
                  <w:pPr>
                    <w:adjustRightInd w:val="0"/>
                    <w:jc w:val="center"/>
                    <w:textAlignment w:val="baseline"/>
                    <w:rPr>
                      <w:color w:val="000000"/>
                      <w:szCs w:val="21"/>
                    </w:rPr>
                  </w:pPr>
                  <w:r>
                    <w:rPr>
                      <w:color w:val="000000"/>
                      <w:szCs w:val="21"/>
                    </w:rPr>
                    <w:t>排放速率（kg/h）</w:t>
                  </w:r>
                </w:p>
              </w:tc>
              <w:tc>
                <w:tcPr>
                  <w:tcW w:w="790" w:type="dxa"/>
                  <w:vAlign w:val="center"/>
                </w:tcPr>
                <w:p>
                  <w:pPr>
                    <w:jc w:val="center"/>
                    <w:rPr>
                      <w:color w:val="000000"/>
                      <w:szCs w:val="21"/>
                    </w:rPr>
                  </w:pPr>
                  <w:r>
                    <w:rPr>
                      <w:rFonts w:hint="eastAsia"/>
                      <w:color w:val="000000"/>
                      <w:szCs w:val="21"/>
                    </w:rPr>
                    <w:t xml:space="preserve">0.482 </w:t>
                  </w:r>
                </w:p>
              </w:tc>
              <w:tc>
                <w:tcPr>
                  <w:tcW w:w="893" w:type="dxa"/>
                  <w:vAlign w:val="center"/>
                </w:tcPr>
                <w:p>
                  <w:pPr>
                    <w:jc w:val="center"/>
                    <w:rPr>
                      <w:color w:val="000000"/>
                      <w:szCs w:val="21"/>
                    </w:rPr>
                  </w:pPr>
                  <w:r>
                    <w:rPr>
                      <w:rFonts w:hint="eastAsia"/>
                      <w:color w:val="000000"/>
                      <w:szCs w:val="21"/>
                    </w:rPr>
                    <w:t xml:space="preserve">0.461 </w:t>
                  </w:r>
                </w:p>
              </w:tc>
              <w:tc>
                <w:tcPr>
                  <w:tcW w:w="810" w:type="dxa"/>
                  <w:vAlign w:val="center"/>
                </w:tcPr>
                <w:p>
                  <w:pPr>
                    <w:jc w:val="center"/>
                    <w:rPr>
                      <w:color w:val="000000"/>
                      <w:szCs w:val="21"/>
                    </w:rPr>
                  </w:pPr>
                  <w:r>
                    <w:rPr>
                      <w:rFonts w:hint="eastAsia"/>
                      <w:color w:val="000000"/>
                      <w:szCs w:val="21"/>
                    </w:rPr>
                    <w:t xml:space="preserve">0.471 </w:t>
                  </w:r>
                </w:p>
              </w:tc>
              <w:tc>
                <w:tcPr>
                  <w:tcW w:w="831" w:type="dxa"/>
                  <w:vAlign w:val="center"/>
                </w:tcPr>
                <w:p>
                  <w:pPr>
                    <w:jc w:val="center"/>
                    <w:rPr>
                      <w:color w:val="000000"/>
                      <w:szCs w:val="21"/>
                    </w:rPr>
                  </w:pPr>
                  <w:r>
                    <w:rPr>
                      <w:rFonts w:hint="eastAsia"/>
                      <w:color w:val="000000"/>
                      <w:szCs w:val="21"/>
                    </w:rPr>
                    <w:t xml:space="preserve">0.452 </w:t>
                  </w:r>
                </w:p>
              </w:tc>
              <w:tc>
                <w:tcPr>
                  <w:tcW w:w="852" w:type="dxa"/>
                  <w:vAlign w:val="center"/>
                </w:tcPr>
                <w:p>
                  <w:pPr>
                    <w:jc w:val="center"/>
                    <w:rPr>
                      <w:color w:val="000000"/>
                      <w:szCs w:val="21"/>
                    </w:rPr>
                  </w:pPr>
                  <w:r>
                    <w:rPr>
                      <w:rFonts w:hint="eastAsia"/>
                      <w:color w:val="000000"/>
                      <w:szCs w:val="21"/>
                    </w:rPr>
                    <w:t xml:space="preserve">0.443 </w:t>
                  </w:r>
                </w:p>
              </w:tc>
              <w:tc>
                <w:tcPr>
                  <w:tcW w:w="944" w:type="dxa"/>
                  <w:vAlign w:val="center"/>
                </w:tcPr>
                <w:p>
                  <w:pPr>
                    <w:jc w:val="center"/>
                    <w:rPr>
                      <w:color w:val="000000"/>
                      <w:szCs w:val="21"/>
                    </w:rPr>
                  </w:pPr>
                  <w:r>
                    <w:rPr>
                      <w:rFonts w:hint="eastAsia"/>
                      <w:color w:val="000000"/>
                      <w:szCs w:val="21"/>
                    </w:rPr>
                    <w:t xml:space="preserve">0.489 </w:t>
                  </w:r>
                </w:p>
              </w:tc>
              <w:tc>
                <w:tcPr>
                  <w:tcW w:w="495" w:type="dxa"/>
                  <w:vAlign w:val="center"/>
                </w:tcPr>
                <w:p>
                  <w:pPr>
                    <w:adjustRightInd w:val="0"/>
                    <w:jc w:val="center"/>
                    <w:textAlignment w:val="baseline"/>
                    <w:rPr>
                      <w:color w:val="FF0000"/>
                      <w:szCs w:val="21"/>
                    </w:rPr>
                  </w:pPr>
                  <w:r>
                    <w:rPr>
                      <w:rFonts w:hint="eastAsia"/>
                      <w:color w:val="000000"/>
                      <w:szCs w:val="21"/>
                    </w:rPr>
                    <w:t>/</w:t>
                  </w:r>
                </w:p>
              </w:tc>
              <w:tc>
                <w:tcPr>
                  <w:tcW w:w="717" w:type="dxa"/>
                  <w:vAlign w:val="center"/>
                </w:tcPr>
                <w:p>
                  <w:pPr>
                    <w:adjustRightInd w:val="0"/>
                    <w:jc w:val="center"/>
                    <w:textAlignment w:val="baseline"/>
                    <w:rPr>
                      <w:b/>
                      <w:bCs/>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exact"/>
                <w:jc w:val="center"/>
              </w:trPr>
              <w:tc>
                <w:tcPr>
                  <w:tcW w:w="1154" w:type="dxa"/>
                  <w:vMerge w:val="restart"/>
                  <w:vAlign w:val="center"/>
                </w:tcPr>
                <w:p>
                  <w:pPr>
                    <w:adjustRightInd w:val="0"/>
                    <w:jc w:val="center"/>
                    <w:textAlignment w:val="baseline"/>
                    <w:rPr>
                      <w:szCs w:val="21"/>
                    </w:rPr>
                  </w:pPr>
                  <w:r>
                    <w:rPr>
                      <w:rFonts w:hint="eastAsia"/>
                      <w:color w:val="000000"/>
                      <w:szCs w:val="21"/>
                    </w:rPr>
                    <w:t>高压釜处理废气、上胶、上密封胶工序排气筒出口</w:t>
                  </w:r>
                </w:p>
              </w:tc>
              <w:tc>
                <w:tcPr>
                  <w:tcW w:w="1585" w:type="dxa"/>
                  <w:gridSpan w:val="2"/>
                  <w:vAlign w:val="center"/>
                </w:tcPr>
                <w:p>
                  <w:pPr>
                    <w:adjustRightInd w:val="0"/>
                    <w:jc w:val="center"/>
                    <w:textAlignment w:val="baseline"/>
                    <w:rPr>
                      <w:color w:val="000000"/>
                      <w:szCs w:val="21"/>
                    </w:rPr>
                  </w:pPr>
                  <w:r>
                    <w:rPr>
                      <w:color w:val="000000"/>
                      <w:szCs w:val="21"/>
                    </w:rPr>
                    <w:t>标干流量（m³/h）</w:t>
                  </w:r>
                </w:p>
              </w:tc>
              <w:tc>
                <w:tcPr>
                  <w:tcW w:w="790" w:type="dxa"/>
                  <w:vAlign w:val="center"/>
                </w:tcPr>
                <w:p>
                  <w:pPr>
                    <w:jc w:val="center"/>
                    <w:rPr>
                      <w:color w:val="000000"/>
                      <w:szCs w:val="21"/>
                    </w:rPr>
                  </w:pPr>
                  <w:r>
                    <w:rPr>
                      <w:rFonts w:hint="eastAsia"/>
                      <w:color w:val="000000"/>
                      <w:szCs w:val="21"/>
                    </w:rPr>
                    <w:t>23113</w:t>
                  </w:r>
                </w:p>
              </w:tc>
              <w:tc>
                <w:tcPr>
                  <w:tcW w:w="893" w:type="dxa"/>
                  <w:vAlign w:val="center"/>
                </w:tcPr>
                <w:p>
                  <w:pPr>
                    <w:jc w:val="center"/>
                    <w:rPr>
                      <w:color w:val="000000"/>
                      <w:szCs w:val="21"/>
                    </w:rPr>
                  </w:pPr>
                  <w:r>
                    <w:rPr>
                      <w:rFonts w:hint="eastAsia"/>
                      <w:color w:val="000000"/>
                      <w:szCs w:val="21"/>
                    </w:rPr>
                    <w:t>22756</w:t>
                  </w:r>
                </w:p>
              </w:tc>
              <w:tc>
                <w:tcPr>
                  <w:tcW w:w="810" w:type="dxa"/>
                  <w:vAlign w:val="center"/>
                </w:tcPr>
                <w:p>
                  <w:pPr>
                    <w:jc w:val="center"/>
                    <w:rPr>
                      <w:color w:val="000000"/>
                      <w:szCs w:val="21"/>
                    </w:rPr>
                  </w:pPr>
                  <w:r>
                    <w:rPr>
                      <w:rFonts w:hint="eastAsia"/>
                      <w:color w:val="000000"/>
                      <w:szCs w:val="21"/>
                    </w:rPr>
                    <w:t>22816</w:t>
                  </w:r>
                </w:p>
              </w:tc>
              <w:tc>
                <w:tcPr>
                  <w:tcW w:w="831" w:type="dxa"/>
                  <w:vAlign w:val="center"/>
                </w:tcPr>
                <w:p>
                  <w:pPr>
                    <w:jc w:val="center"/>
                    <w:rPr>
                      <w:color w:val="000000"/>
                      <w:szCs w:val="21"/>
                    </w:rPr>
                  </w:pPr>
                  <w:r>
                    <w:rPr>
                      <w:rFonts w:hint="eastAsia"/>
                      <w:color w:val="000000"/>
                      <w:szCs w:val="21"/>
                    </w:rPr>
                    <w:t>22976</w:t>
                  </w:r>
                </w:p>
              </w:tc>
              <w:tc>
                <w:tcPr>
                  <w:tcW w:w="852" w:type="dxa"/>
                  <w:vAlign w:val="center"/>
                </w:tcPr>
                <w:p>
                  <w:pPr>
                    <w:jc w:val="center"/>
                    <w:rPr>
                      <w:color w:val="000000"/>
                      <w:szCs w:val="21"/>
                    </w:rPr>
                  </w:pPr>
                  <w:r>
                    <w:rPr>
                      <w:rFonts w:hint="eastAsia"/>
                      <w:color w:val="000000"/>
                      <w:szCs w:val="21"/>
                    </w:rPr>
                    <w:t>23085</w:t>
                  </w:r>
                </w:p>
              </w:tc>
              <w:tc>
                <w:tcPr>
                  <w:tcW w:w="944" w:type="dxa"/>
                  <w:vAlign w:val="center"/>
                </w:tcPr>
                <w:p>
                  <w:pPr>
                    <w:jc w:val="center"/>
                    <w:rPr>
                      <w:color w:val="000000"/>
                      <w:szCs w:val="21"/>
                    </w:rPr>
                  </w:pPr>
                  <w:r>
                    <w:rPr>
                      <w:rFonts w:hint="eastAsia"/>
                      <w:color w:val="000000"/>
                      <w:szCs w:val="21"/>
                    </w:rPr>
                    <w:t>23116</w:t>
                  </w:r>
                </w:p>
              </w:tc>
              <w:tc>
                <w:tcPr>
                  <w:tcW w:w="495" w:type="dxa"/>
                  <w:vAlign w:val="center"/>
                </w:tcPr>
                <w:p>
                  <w:pPr>
                    <w:adjustRightInd w:val="0"/>
                    <w:jc w:val="center"/>
                    <w:textAlignment w:val="baseline"/>
                    <w:rPr>
                      <w:szCs w:val="21"/>
                    </w:rPr>
                  </w:pPr>
                  <w:r>
                    <w:rPr>
                      <w:rFonts w:hint="eastAsia"/>
                      <w:color w:val="000000"/>
                      <w:szCs w:val="21"/>
                    </w:rPr>
                    <w:t>/</w:t>
                  </w:r>
                </w:p>
              </w:tc>
              <w:tc>
                <w:tcPr>
                  <w:tcW w:w="717" w:type="dxa"/>
                  <w:vAlign w:val="center"/>
                </w:tcPr>
                <w:p>
                  <w:pPr>
                    <w:adjustRightInd w:val="0"/>
                    <w:jc w:val="center"/>
                    <w:textAlignment w:val="baseline"/>
                    <w:rPr>
                      <w:b/>
                      <w:bCs/>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jc w:val="center"/>
              </w:trPr>
              <w:tc>
                <w:tcPr>
                  <w:tcW w:w="1154" w:type="dxa"/>
                  <w:vMerge w:val="continue"/>
                  <w:vAlign w:val="center"/>
                </w:tcPr>
                <w:p>
                  <w:pPr>
                    <w:adjustRightInd w:val="0"/>
                    <w:jc w:val="center"/>
                    <w:textAlignment w:val="baseline"/>
                    <w:rPr>
                      <w:szCs w:val="21"/>
                    </w:rPr>
                  </w:pPr>
                </w:p>
              </w:tc>
              <w:tc>
                <w:tcPr>
                  <w:tcW w:w="525" w:type="dxa"/>
                  <w:vMerge w:val="restart"/>
                  <w:vAlign w:val="center"/>
                </w:tcPr>
                <w:p>
                  <w:pPr>
                    <w:adjustRightInd w:val="0"/>
                    <w:jc w:val="center"/>
                    <w:textAlignment w:val="baseline"/>
                    <w:rPr>
                      <w:color w:val="000000"/>
                      <w:szCs w:val="21"/>
                    </w:rPr>
                  </w:pPr>
                  <w:r>
                    <w:rPr>
                      <w:rFonts w:hint="eastAsia"/>
                      <w:color w:val="000000"/>
                      <w:szCs w:val="21"/>
                    </w:rPr>
                    <w:t>非甲烷总烃</w:t>
                  </w:r>
                </w:p>
              </w:tc>
              <w:tc>
                <w:tcPr>
                  <w:tcW w:w="1060" w:type="dxa"/>
                  <w:vAlign w:val="center"/>
                </w:tcPr>
                <w:p>
                  <w:pPr>
                    <w:adjustRightInd w:val="0"/>
                    <w:jc w:val="center"/>
                    <w:textAlignment w:val="baseline"/>
                    <w:rPr>
                      <w:color w:val="000000"/>
                      <w:szCs w:val="21"/>
                    </w:rPr>
                  </w:pPr>
                  <w:r>
                    <w:rPr>
                      <w:color w:val="000000"/>
                      <w:szCs w:val="21"/>
                    </w:rPr>
                    <w:t>排放浓度（mg/m³）</w:t>
                  </w:r>
                </w:p>
              </w:tc>
              <w:tc>
                <w:tcPr>
                  <w:tcW w:w="790" w:type="dxa"/>
                  <w:vAlign w:val="center"/>
                </w:tcPr>
                <w:p>
                  <w:pPr>
                    <w:jc w:val="center"/>
                    <w:rPr>
                      <w:color w:val="000000"/>
                      <w:szCs w:val="21"/>
                    </w:rPr>
                  </w:pPr>
                  <w:r>
                    <w:rPr>
                      <w:rFonts w:hint="eastAsia"/>
                      <w:color w:val="000000"/>
                      <w:szCs w:val="21"/>
                    </w:rPr>
                    <w:t>4.65</w:t>
                  </w:r>
                </w:p>
              </w:tc>
              <w:tc>
                <w:tcPr>
                  <w:tcW w:w="893" w:type="dxa"/>
                  <w:vAlign w:val="center"/>
                </w:tcPr>
                <w:p>
                  <w:pPr>
                    <w:jc w:val="center"/>
                    <w:rPr>
                      <w:color w:val="000000"/>
                      <w:szCs w:val="21"/>
                    </w:rPr>
                  </w:pPr>
                  <w:r>
                    <w:rPr>
                      <w:rFonts w:hint="eastAsia"/>
                      <w:color w:val="000000"/>
                      <w:szCs w:val="21"/>
                    </w:rPr>
                    <w:t>4.73</w:t>
                  </w:r>
                </w:p>
              </w:tc>
              <w:tc>
                <w:tcPr>
                  <w:tcW w:w="810" w:type="dxa"/>
                  <w:vAlign w:val="center"/>
                </w:tcPr>
                <w:p>
                  <w:pPr>
                    <w:jc w:val="center"/>
                    <w:rPr>
                      <w:color w:val="000000"/>
                      <w:szCs w:val="21"/>
                    </w:rPr>
                  </w:pPr>
                  <w:r>
                    <w:rPr>
                      <w:rFonts w:hint="eastAsia"/>
                      <w:color w:val="000000"/>
                      <w:szCs w:val="21"/>
                    </w:rPr>
                    <w:t>4.58</w:t>
                  </w:r>
                </w:p>
              </w:tc>
              <w:tc>
                <w:tcPr>
                  <w:tcW w:w="831" w:type="dxa"/>
                  <w:vAlign w:val="center"/>
                </w:tcPr>
                <w:p>
                  <w:pPr>
                    <w:jc w:val="center"/>
                    <w:rPr>
                      <w:color w:val="000000"/>
                      <w:szCs w:val="21"/>
                    </w:rPr>
                  </w:pPr>
                  <w:r>
                    <w:rPr>
                      <w:rFonts w:hint="eastAsia"/>
                      <w:color w:val="000000"/>
                      <w:szCs w:val="21"/>
                    </w:rPr>
                    <w:t>5.07</w:t>
                  </w:r>
                </w:p>
              </w:tc>
              <w:tc>
                <w:tcPr>
                  <w:tcW w:w="852" w:type="dxa"/>
                  <w:vAlign w:val="center"/>
                </w:tcPr>
                <w:p>
                  <w:pPr>
                    <w:jc w:val="center"/>
                    <w:rPr>
                      <w:color w:val="000000"/>
                      <w:szCs w:val="21"/>
                    </w:rPr>
                  </w:pPr>
                  <w:r>
                    <w:rPr>
                      <w:rFonts w:hint="eastAsia"/>
                      <w:color w:val="000000"/>
                      <w:szCs w:val="21"/>
                    </w:rPr>
                    <w:t>4.86</w:t>
                  </w:r>
                </w:p>
              </w:tc>
              <w:tc>
                <w:tcPr>
                  <w:tcW w:w="944" w:type="dxa"/>
                  <w:vAlign w:val="center"/>
                </w:tcPr>
                <w:p>
                  <w:pPr>
                    <w:jc w:val="center"/>
                    <w:rPr>
                      <w:color w:val="000000"/>
                      <w:szCs w:val="21"/>
                    </w:rPr>
                  </w:pPr>
                  <w:r>
                    <w:rPr>
                      <w:rFonts w:hint="eastAsia"/>
                      <w:color w:val="000000"/>
                      <w:szCs w:val="21"/>
                    </w:rPr>
                    <w:t>4.79</w:t>
                  </w:r>
                </w:p>
              </w:tc>
              <w:tc>
                <w:tcPr>
                  <w:tcW w:w="495" w:type="dxa"/>
                  <w:vAlign w:val="center"/>
                </w:tcPr>
                <w:p>
                  <w:pPr>
                    <w:adjustRightInd w:val="0"/>
                    <w:jc w:val="center"/>
                    <w:textAlignment w:val="baseline"/>
                    <w:rPr>
                      <w:color w:val="0000FF"/>
                      <w:szCs w:val="21"/>
                    </w:rPr>
                  </w:pPr>
                  <w:r>
                    <w:rPr>
                      <w:rFonts w:hint="eastAsia"/>
                      <w:szCs w:val="21"/>
                    </w:rPr>
                    <w:t>50</w:t>
                  </w:r>
                </w:p>
              </w:tc>
              <w:tc>
                <w:tcPr>
                  <w:tcW w:w="717" w:type="dxa"/>
                  <w:vAlign w:val="center"/>
                </w:tcPr>
                <w:p>
                  <w:pPr>
                    <w:adjustRightInd w:val="0"/>
                    <w:jc w:val="center"/>
                    <w:textAlignment w:val="baseline"/>
                    <w:rPr>
                      <w:b/>
                      <w:bCs/>
                      <w:color w:val="000000"/>
                    </w:rPr>
                  </w:pPr>
                  <w:r>
                    <w:rPr>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6" w:hRule="exact"/>
                <w:jc w:val="center"/>
              </w:trPr>
              <w:tc>
                <w:tcPr>
                  <w:tcW w:w="1154" w:type="dxa"/>
                  <w:vMerge w:val="continue"/>
                  <w:vAlign w:val="center"/>
                </w:tcPr>
                <w:p>
                  <w:pPr>
                    <w:adjustRightInd w:val="0"/>
                    <w:jc w:val="center"/>
                    <w:textAlignment w:val="baseline"/>
                    <w:rPr>
                      <w:szCs w:val="21"/>
                    </w:rPr>
                  </w:pPr>
                </w:p>
              </w:tc>
              <w:tc>
                <w:tcPr>
                  <w:tcW w:w="525" w:type="dxa"/>
                  <w:vMerge w:val="continue"/>
                  <w:vAlign w:val="center"/>
                </w:tcPr>
                <w:p>
                  <w:pPr>
                    <w:adjustRightInd w:val="0"/>
                    <w:jc w:val="center"/>
                    <w:textAlignment w:val="baseline"/>
                    <w:rPr>
                      <w:color w:val="000000"/>
                      <w:szCs w:val="21"/>
                    </w:rPr>
                  </w:pPr>
                </w:p>
              </w:tc>
              <w:tc>
                <w:tcPr>
                  <w:tcW w:w="1060" w:type="dxa"/>
                  <w:vAlign w:val="center"/>
                </w:tcPr>
                <w:p>
                  <w:pPr>
                    <w:adjustRightInd w:val="0"/>
                    <w:jc w:val="center"/>
                    <w:textAlignment w:val="baseline"/>
                    <w:rPr>
                      <w:color w:val="000000"/>
                      <w:szCs w:val="21"/>
                    </w:rPr>
                  </w:pPr>
                  <w:r>
                    <w:rPr>
                      <w:color w:val="000000"/>
                      <w:szCs w:val="21"/>
                    </w:rPr>
                    <w:t>排放速率（kg/h）</w:t>
                  </w:r>
                </w:p>
              </w:tc>
              <w:tc>
                <w:tcPr>
                  <w:tcW w:w="790" w:type="dxa"/>
                  <w:vAlign w:val="center"/>
                </w:tcPr>
                <w:p>
                  <w:pPr>
                    <w:jc w:val="center"/>
                    <w:rPr>
                      <w:color w:val="000000"/>
                      <w:szCs w:val="21"/>
                    </w:rPr>
                  </w:pPr>
                  <w:r>
                    <w:rPr>
                      <w:rFonts w:hint="eastAsia"/>
                      <w:color w:val="000000"/>
                      <w:szCs w:val="21"/>
                    </w:rPr>
                    <w:t xml:space="preserve">0.107 </w:t>
                  </w:r>
                </w:p>
              </w:tc>
              <w:tc>
                <w:tcPr>
                  <w:tcW w:w="893" w:type="dxa"/>
                  <w:vAlign w:val="center"/>
                </w:tcPr>
                <w:p>
                  <w:pPr>
                    <w:jc w:val="center"/>
                    <w:rPr>
                      <w:color w:val="000000"/>
                      <w:szCs w:val="21"/>
                    </w:rPr>
                  </w:pPr>
                  <w:r>
                    <w:rPr>
                      <w:rFonts w:hint="eastAsia"/>
                      <w:color w:val="000000"/>
                      <w:szCs w:val="21"/>
                    </w:rPr>
                    <w:t xml:space="preserve">0.108 </w:t>
                  </w:r>
                </w:p>
              </w:tc>
              <w:tc>
                <w:tcPr>
                  <w:tcW w:w="810" w:type="dxa"/>
                  <w:vAlign w:val="center"/>
                </w:tcPr>
                <w:p>
                  <w:pPr>
                    <w:jc w:val="center"/>
                    <w:rPr>
                      <w:color w:val="000000"/>
                      <w:szCs w:val="21"/>
                    </w:rPr>
                  </w:pPr>
                  <w:r>
                    <w:rPr>
                      <w:rFonts w:hint="eastAsia"/>
                      <w:color w:val="000000"/>
                      <w:szCs w:val="21"/>
                    </w:rPr>
                    <w:t xml:space="preserve">0.104 </w:t>
                  </w:r>
                </w:p>
              </w:tc>
              <w:tc>
                <w:tcPr>
                  <w:tcW w:w="831" w:type="dxa"/>
                  <w:vAlign w:val="center"/>
                </w:tcPr>
                <w:p>
                  <w:pPr>
                    <w:jc w:val="center"/>
                    <w:rPr>
                      <w:color w:val="000000"/>
                      <w:szCs w:val="21"/>
                    </w:rPr>
                  </w:pPr>
                  <w:r>
                    <w:rPr>
                      <w:rFonts w:hint="eastAsia"/>
                      <w:color w:val="000000"/>
                      <w:szCs w:val="21"/>
                    </w:rPr>
                    <w:t xml:space="preserve">0.116 </w:t>
                  </w:r>
                </w:p>
              </w:tc>
              <w:tc>
                <w:tcPr>
                  <w:tcW w:w="852" w:type="dxa"/>
                  <w:vAlign w:val="center"/>
                </w:tcPr>
                <w:p>
                  <w:pPr>
                    <w:jc w:val="center"/>
                    <w:rPr>
                      <w:color w:val="000000"/>
                      <w:szCs w:val="21"/>
                    </w:rPr>
                  </w:pPr>
                  <w:r>
                    <w:rPr>
                      <w:rFonts w:hint="eastAsia"/>
                      <w:color w:val="000000"/>
                      <w:szCs w:val="21"/>
                    </w:rPr>
                    <w:t xml:space="preserve">0.112 </w:t>
                  </w:r>
                </w:p>
              </w:tc>
              <w:tc>
                <w:tcPr>
                  <w:tcW w:w="944" w:type="dxa"/>
                  <w:vAlign w:val="center"/>
                </w:tcPr>
                <w:p>
                  <w:pPr>
                    <w:jc w:val="center"/>
                    <w:rPr>
                      <w:color w:val="000000"/>
                      <w:szCs w:val="21"/>
                    </w:rPr>
                  </w:pPr>
                  <w:r>
                    <w:rPr>
                      <w:rFonts w:hint="eastAsia"/>
                      <w:color w:val="000000"/>
                      <w:szCs w:val="21"/>
                    </w:rPr>
                    <w:t xml:space="preserve">0.111 </w:t>
                  </w:r>
                </w:p>
              </w:tc>
              <w:tc>
                <w:tcPr>
                  <w:tcW w:w="495" w:type="dxa"/>
                  <w:vAlign w:val="center"/>
                </w:tcPr>
                <w:p>
                  <w:pPr>
                    <w:adjustRightInd w:val="0"/>
                    <w:jc w:val="center"/>
                    <w:textAlignment w:val="baseline"/>
                    <w:rPr>
                      <w:szCs w:val="21"/>
                    </w:rPr>
                  </w:pPr>
                  <w:r>
                    <w:rPr>
                      <w:rFonts w:hint="eastAsia"/>
                      <w:szCs w:val="21"/>
                    </w:rPr>
                    <w:t>1.5</w:t>
                  </w:r>
                </w:p>
              </w:tc>
              <w:tc>
                <w:tcPr>
                  <w:tcW w:w="717" w:type="dxa"/>
                  <w:vAlign w:val="center"/>
                </w:tcPr>
                <w:p>
                  <w:pPr>
                    <w:adjustRightInd w:val="0"/>
                    <w:jc w:val="center"/>
                    <w:textAlignment w:val="baseline"/>
                    <w:rPr>
                      <w:b/>
                      <w:bCs/>
                      <w:color w:val="000000"/>
                    </w:rPr>
                  </w:pPr>
                  <w:r>
                    <w:rPr>
                      <w:b/>
                      <w:bCs/>
                      <w:color w:val="000000"/>
                    </w:rPr>
                    <w:t>达标</w:t>
                  </w:r>
                </w:p>
              </w:tc>
            </w:tr>
          </w:tbl>
          <w:p>
            <w:pPr>
              <w:spacing w:line="360" w:lineRule="auto"/>
              <w:ind w:firstLine="480" w:firstLineChars="200"/>
              <w:rPr>
                <w:bCs/>
                <w:sz w:val="24"/>
              </w:rPr>
            </w:pPr>
            <w:r>
              <w:rPr>
                <w:rFonts w:hint="eastAsia"/>
                <w:bCs/>
                <w:color w:val="000000"/>
                <w:sz w:val="24"/>
              </w:rPr>
              <w:t>高压釜处理废气、上胶、上密封胶工序</w:t>
            </w:r>
            <w:r>
              <w:rPr>
                <w:bCs/>
                <w:sz w:val="24"/>
              </w:rPr>
              <w:t>过程产生</w:t>
            </w:r>
            <w:r>
              <w:rPr>
                <w:rFonts w:hint="eastAsia"/>
                <w:bCs/>
                <w:sz w:val="24"/>
              </w:rPr>
              <w:t>非甲烷总烃经集气罩收集后通过</w:t>
            </w:r>
            <w:r>
              <w:rPr>
                <w:bCs/>
                <w:sz w:val="24"/>
              </w:rPr>
              <w:t>一套二级活性炭吸附+15m高排气筒</w:t>
            </w:r>
            <w:r>
              <w:rPr>
                <w:rFonts w:hint="eastAsia"/>
                <w:bCs/>
                <w:sz w:val="24"/>
              </w:rPr>
              <w:t>DA001</w:t>
            </w:r>
            <w:r>
              <w:rPr>
                <w:bCs/>
                <w:sz w:val="24"/>
              </w:rPr>
              <w:t>排放，</w:t>
            </w:r>
            <w:r>
              <w:rPr>
                <w:rFonts w:hint="eastAsia"/>
                <w:bCs/>
                <w:color w:val="000000"/>
                <w:sz w:val="24"/>
              </w:rPr>
              <w:t>高压釜处理废气、上胶、上密封胶工序</w:t>
            </w:r>
            <w:r>
              <w:rPr>
                <w:bCs/>
                <w:sz w:val="24"/>
              </w:rPr>
              <w:t>废气处理设施出口的</w:t>
            </w:r>
            <w:r>
              <w:rPr>
                <w:rFonts w:hint="eastAsia"/>
                <w:bCs/>
                <w:sz w:val="24"/>
              </w:rPr>
              <w:t>非甲烷总烃的最大排放浓度5.07</w:t>
            </w:r>
            <w:r>
              <w:rPr>
                <w:bCs/>
                <w:sz w:val="24"/>
              </w:rPr>
              <w:t>mg/m</w:t>
            </w:r>
            <w:r>
              <w:rPr>
                <w:bCs/>
                <w:sz w:val="24"/>
                <w:vertAlign w:val="superscript"/>
              </w:rPr>
              <w:t>3</w:t>
            </w:r>
            <w:r>
              <w:rPr>
                <w:rFonts w:hint="eastAsia"/>
                <w:bCs/>
                <w:sz w:val="24"/>
              </w:rPr>
              <w:t>，最大排放速率为0.116</w:t>
            </w:r>
            <w:r>
              <w:rPr>
                <w:bCs/>
                <w:sz w:val="24"/>
              </w:rPr>
              <w:t>kg/h</w:t>
            </w:r>
            <w:r>
              <w:rPr>
                <w:rFonts w:hint="eastAsia"/>
                <w:bCs/>
                <w:sz w:val="24"/>
              </w:rPr>
              <w:t>，均</w:t>
            </w:r>
            <w:r>
              <w:rPr>
                <w:bCs/>
                <w:sz w:val="24"/>
              </w:rPr>
              <w:t>满足《工业企业挥发性有机物排放控制标准（天津市地方标准）》（DB12/524-20</w:t>
            </w:r>
            <w:r>
              <w:rPr>
                <w:rFonts w:hint="eastAsia"/>
                <w:bCs/>
                <w:sz w:val="24"/>
              </w:rPr>
              <w:t>20</w:t>
            </w:r>
            <w:r>
              <w:rPr>
                <w:bCs/>
                <w:sz w:val="24"/>
              </w:rPr>
              <w:t>）表</w:t>
            </w:r>
            <w:r>
              <w:rPr>
                <w:rFonts w:hint="eastAsia"/>
                <w:bCs/>
                <w:sz w:val="24"/>
              </w:rPr>
              <w:t>1挥发性有机物有组织</w:t>
            </w:r>
            <w:r>
              <w:rPr>
                <w:bCs/>
                <w:sz w:val="24"/>
              </w:rPr>
              <w:t>排放限值。</w:t>
            </w:r>
          </w:p>
          <w:p>
            <w:pPr>
              <w:spacing w:line="360" w:lineRule="auto"/>
              <w:ind w:firstLine="480" w:firstLineChars="200"/>
              <w:jc w:val="left"/>
              <w:rPr>
                <w:rFonts w:hint="eastAsia"/>
                <w:bCs/>
                <w:color w:val="000000"/>
                <w:sz w:val="24"/>
                <w:lang w:eastAsia="zh-CN"/>
              </w:rPr>
            </w:pPr>
            <w:r>
              <w:rPr>
                <w:rFonts w:hint="eastAsia"/>
                <w:bCs/>
                <w:color w:val="000000"/>
                <w:sz w:val="24"/>
                <w:lang w:eastAsia="zh-CN"/>
              </w:rPr>
              <w:t>食堂油烟废气检测结果见下表</w:t>
            </w:r>
          </w:p>
          <w:p>
            <w:pPr>
              <w:pStyle w:val="12"/>
              <w:ind w:firstLine="422"/>
              <w:jc w:val="center"/>
              <w:rPr>
                <w:b/>
                <w:color w:val="auto"/>
                <w:szCs w:val="21"/>
              </w:rPr>
            </w:pPr>
            <w:r>
              <w:rPr>
                <w:rFonts w:hint="eastAsia"/>
                <w:b/>
                <w:color w:val="auto"/>
                <w:szCs w:val="21"/>
              </w:rPr>
              <w:t>表7-</w:t>
            </w:r>
            <w:r>
              <w:rPr>
                <w:rFonts w:hint="eastAsia"/>
                <w:b/>
                <w:color w:val="auto"/>
                <w:szCs w:val="21"/>
                <w:lang w:val="en-US" w:eastAsia="zh-CN"/>
              </w:rPr>
              <w:t>4</w:t>
            </w:r>
            <w:r>
              <w:rPr>
                <w:rFonts w:hint="eastAsia"/>
                <w:b/>
                <w:color w:val="auto"/>
                <w:szCs w:val="21"/>
              </w:rPr>
              <w:t xml:space="preserve"> </w:t>
            </w:r>
            <w:r>
              <w:rPr>
                <w:rFonts w:hint="eastAsia"/>
                <w:b/>
                <w:color w:val="auto"/>
                <w:szCs w:val="21"/>
                <w:lang w:eastAsia="zh-CN"/>
              </w:rPr>
              <w:t>食堂油烟</w:t>
            </w:r>
            <w:r>
              <w:rPr>
                <w:b/>
                <w:color w:val="auto"/>
                <w:szCs w:val="21"/>
              </w:rPr>
              <w:t>废气检测结果</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367"/>
              <w:gridCol w:w="650"/>
              <w:gridCol w:w="700"/>
              <w:gridCol w:w="667"/>
              <w:gridCol w:w="716"/>
              <w:gridCol w:w="667"/>
              <w:gridCol w:w="650"/>
              <w:gridCol w:w="650"/>
              <w:gridCol w:w="667"/>
              <w:gridCol w:w="683"/>
              <w:gridCol w:w="583"/>
              <w:gridCol w:w="650"/>
              <w:gridCol w:w="334"/>
              <w:gridCol w:w="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exact"/>
                <w:jc w:val="center"/>
              </w:trPr>
              <w:tc>
                <w:tcPr>
                  <w:tcW w:w="1744" w:type="dxa"/>
                  <w:gridSpan w:val="3"/>
                  <w:vAlign w:val="center"/>
                </w:tcPr>
                <w:p>
                  <w:pPr>
                    <w:jc w:val="center"/>
                    <w:rPr>
                      <w:b/>
                      <w:color w:val="000000"/>
                      <w:szCs w:val="21"/>
                    </w:rPr>
                  </w:pPr>
                  <w:r>
                    <w:rPr>
                      <w:b/>
                      <w:color w:val="000000"/>
                      <w:szCs w:val="21"/>
                    </w:rPr>
                    <w:t>排气筒高度（m）</w:t>
                  </w:r>
                </w:p>
              </w:tc>
              <w:tc>
                <w:tcPr>
                  <w:tcW w:w="6633" w:type="dxa"/>
                  <w:gridSpan w:val="10"/>
                  <w:vAlign w:val="center"/>
                </w:tcPr>
                <w:p>
                  <w:pPr>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c>
                <w:tcPr>
                  <w:tcW w:w="334" w:type="dxa"/>
                  <w:vMerge w:val="restart"/>
                  <w:vAlign w:val="center"/>
                </w:tcPr>
                <w:p>
                  <w:pPr>
                    <w:jc w:val="center"/>
                    <w:rPr>
                      <w:bCs/>
                      <w:color w:val="000000" w:themeColor="text1"/>
                      <w:szCs w:val="21"/>
                      <w14:textFill>
                        <w14:solidFill>
                          <w14:schemeClr w14:val="tx1"/>
                        </w14:solidFill>
                      </w14:textFill>
                    </w:rPr>
                  </w:pPr>
                  <w:r>
                    <w:rPr>
                      <w:b/>
                      <w:color w:val="000000"/>
                    </w:rPr>
                    <w:t>标准限值</w:t>
                  </w:r>
                </w:p>
              </w:tc>
              <w:tc>
                <w:tcPr>
                  <w:tcW w:w="360" w:type="dxa"/>
                  <w:vMerge w:val="restart"/>
                  <w:vAlign w:val="center"/>
                </w:tcPr>
                <w:p>
                  <w:pPr>
                    <w:jc w:val="center"/>
                    <w:rPr>
                      <w:bCs/>
                      <w:color w:val="000000" w:themeColor="text1"/>
                      <w:szCs w:val="21"/>
                      <w14:textFill>
                        <w14:solidFill>
                          <w14:schemeClr w14:val="tx1"/>
                        </w14:solidFill>
                      </w14:textFill>
                    </w:rPr>
                  </w:pPr>
                  <w:r>
                    <w:rPr>
                      <w:b/>
                      <w:color w:val="00000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727" w:type="dxa"/>
                  <w:vMerge w:val="restart"/>
                  <w:vAlign w:val="center"/>
                </w:tcPr>
                <w:p>
                  <w:pPr>
                    <w:adjustRightInd w:val="0"/>
                    <w:snapToGrid w:val="0"/>
                    <w:jc w:val="center"/>
                    <w:textAlignment w:val="baseline"/>
                    <w:rPr>
                      <w:b/>
                      <w:color w:val="000000"/>
                      <w:szCs w:val="21"/>
                    </w:rPr>
                  </w:pPr>
                  <w:r>
                    <w:rPr>
                      <w:b/>
                      <w:color w:val="000000"/>
                      <w:szCs w:val="21"/>
                    </w:rPr>
                    <w:t>采样点位</w:t>
                  </w:r>
                </w:p>
              </w:tc>
              <w:tc>
                <w:tcPr>
                  <w:tcW w:w="1017" w:type="dxa"/>
                  <w:gridSpan w:val="2"/>
                  <w:vMerge w:val="restart"/>
                  <w:vAlign w:val="center"/>
                </w:tcPr>
                <w:p>
                  <w:pPr>
                    <w:adjustRightInd w:val="0"/>
                    <w:snapToGrid w:val="0"/>
                    <w:jc w:val="center"/>
                    <w:textAlignment w:val="baseline"/>
                    <w:rPr>
                      <w:b/>
                      <w:color w:val="000000"/>
                      <w:szCs w:val="21"/>
                    </w:rPr>
                  </w:pPr>
                  <w:r>
                    <w:rPr>
                      <w:b/>
                      <w:color w:val="000000"/>
                      <w:szCs w:val="21"/>
                    </w:rPr>
                    <w:t>项目参数</w:t>
                  </w:r>
                </w:p>
              </w:tc>
              <w:tc>
                <w:tcPr>
                  <w:tcW w:w="3400" w:type="dxa"/>
                  <w:gridSpan w:val="5"/>
                  <w:vAlign w:val="center"/>
                </w:tcPr>
                <w:p>
                  <w:pPr>
                    <w:jc w:val="center"/>
                    <w:rPr>
                      <w:color w:val="000000"/>
                      <w:szCs w:val="21"/>
                    </w:rPr>
                  </w:pPr>
                  <w:r>
                    <w:rPr>
                      <w:color w:val="000000"/>
                      <w:szCs w:val="21"/>
                    </w:rPr>
                    <w:t>20</w:t>
                  </w:r>
                  <w:r>
                    <w:rPr>
                      <w:rFonts w:hint="eastAsia"/>
                      <w:color w:val="000000"/>
                      <w:szCs w:val="21"/>
                    </w:rPr>
                    <w:t>22</w:t>
                  </w:r>
                  <w:r>
                    <w:rPr>
                      <w:color w:val="000000"/>
                      <w:szCs w:val="21"/>
                    </w:rPr>
                    <w:t>年</w:t>
                  </w:r>
                  <w:r>
                    <w:rPr>
                      <w:rFonts w:hint="eastAsia"/>
                      <w:color w:val="000000"/>
                      <w:szCs w:val="21"/>
                    </w:rPr>
                    <w:t>2</w:t>
                  </w:r>
                  <w:r>
                    <w:rPr>
                      <w:color w:val="000000"/>
                      <w:szCs w:val="21"/>
                    </w:rPr>
                    <w:t>月</w:t>
                  </w:r>
                  <w:r>
                    <w:rPr>
                      <w:rFonts w:hint="eastAsia"/>
                      <w:color w:val="000000"/>
                      <w:szCs w:val="21"/>
                      <w:lang w:val="en-US" w:eastAsia="zh-CN"/>
                    </w:rPr>
                    <w:t>9</w:t>
                  </w:r>
                  <w:r>
                    <w:rPr>
                      <w:color w:val="000000"/>
                      <w:szCs w:val="21"/>
                    </w:rPr>
                    <w:t>日</w:t>
                  </w:r>
                </w:p>
              </w:tc>
              <w:tc>
                <w:tcPr>
                  <w:tcW w:w="3233" w:type="dxa"/>
                  <w:gridSpan w:val="5"/>
                  <w:vAlign w:val="center"/>
                </w:tcPr>
                <w:p>
                  <w:pPr>
                    <w:jc w:val="center"/>
                    <w:rPr>
                      <w:color w:val="000000"/>
                      <w:szCs w:val="21"/>
                    </w:rPr>
                  </w:pPr>
                  <w:r>
                    <w:rPr>
                      <w:color w:val="000000"/>
                      <w:szCs w:val="21"/>
                    </w:rPr>
                    <w:t>20</w:t>
                  </w:r>
                  <w:r>
                    <w:rPr>
                      <w:rFonts w:hint="eastAsia"/>
                      <w:color w:val="000000"/>
                      <w:szCs w:val="21"/>
                    </w:rPr>
                    <w:t>22</w:t>
                  </w:r>
                  <w:r>
                    <w:rPr>
                      <w:color w:val="000000"/>
                      <w:szCs w:val="21"/>
                    </w:rPr>
                    <w:t>年</w:t>
                  </w:r>
                  <w:r>
                    <w:rPr>
                      <w:rFonts w:hint="eastAsia"/>
                      <w:color w:val="000000"/>
                      <w:szCs w:val="21"/>
                    </w:rPr>
                    <w:t>2</w:t>
                  </w:r>
                  <w:r>
                    <w:rPr>
                      <w:color w:val="000000"/>
                      <w:szCs w:val="21"/>
                    </w:rPr>
                    <w:t>月</w:t>
                  </w:r>
                  <w:r>
                    <w:rPr>
                      <w:rFonts w:hint="eastAsia"/>
                      <w:color w:val="000000"/>
                      <w:szCs w:val="21"/>
                      <w:lang w:val="en-US" w:eastAsia="zh-CN"/>
                    </w:rPr>
                    <w:t>10</w:t>
                  </w:r>
                  <w:r>
                    <w:rPr>
                      <w:color w:val="000000"/>
                      <w:szCs w:val="21"/>
                    </w:rPr>
                    <w:t>日</w:t>
                  </w:r>
                </w:p>
              </w:tc>
              <w:tc>
                <w:tcPr>
                  <w:tcW w:w="334" w:type="dxa"/>
                  <w:vMerge w:val="continue"/>
                  <w:vAlign w:val="center"/>
                </w:tcPr>
                <w:p>
                  <w:pPr>
                    <w:jc w:val="center"/>
                    <w:rPr>
                      <w:color w:val="000000"/>
                      <w:szCs w:val="21"/>
                    </w:rPr>
                  </w:pPr>
                </w:p>
              </w:tc>
              <w:tc>
                <w:tcPr>
                  <w:tcW w:w="360" w:type="dxa"/>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727" w:type="dxa"/>
                  <w:vMerge w:val="continue"/>
                  <w:vAlign w:val="center"/>
                </w:tcPr>
                <w:p>
                  <w:pPr>
                    <w:adjustRightInd w:val="0"/>
                    <w:snapToGrid w:val="0"/>
                    <w:jc w:val="center"/>
                    <w:textAlignment w:val="baseline"/>
                    <w:rPr>
                      <w:b/>
                      <w:color w:val="000000"/>
                      <w:szCs w:val="21"/>
                    </w:rPr>
                  </w:pPr>
                </w:p>
              </w:tc>
              <w:tc>
                <w:tcPr>
                  <w:tcW w:w="1017" w:type="dxa"/>
                  <w:gridSpan w:val="2"/>
                  <w:vMerge w:val="continue"/>
                  <w:vAlign w:val="center"/>
                </w:tcPr>
                <w:p>
                  <w:pPr>
                    <w:adjustRightInd w:val="0"/>
                    <w:snapToGrid w:val="0"/>
                    <w:jc w:val="center"/>
                    <w:textAlignment w:val="baseline"/>
                    <w:rPr>
                      <w:b/>
                      <w:color w:val="000000"/>
                      <w:szCs w:val="21"/>
                    </w:rPr>
                  </w:pPr>
                </w:p>
              </w:tc>
              <w:tc>
                <w:tcPr>
                  <w:tcW w:w="700" w:type="dxa"/>
                  <w:vAlign w:val="center"/>
                </w:tcPr>
                <w:p>
                  <w:pPr>
                    <w:jc w:val="center"/>
                    <w:rPr>
                      <w:color w:val="000000"/>
                      <w:szCs w:val="21"/>
                    </w:rPr>
                  </w:pPr>
                  <w:r>
                    <w:rPr>
                      <w:rFonts w:hint="eastAsia" w:ascii="宋体" w:hAnsi="宋体" w:cs="宋体"/>
                      <w:color w:val="000000"/>
                      <w:szCs w:val="21"/>
                    </w:rPr>
                    <w:t>Ⅰ</w:t>
                  </w:r>
                </w:p>
              </w:tc>
              <w:tc>
                <w:tcPr>
                  <w:tcW w:w="667" w:type="dxa"/>
                  <w:vAlign w:val="center"/>
                </w:tcPr>
                <w:p>
                  <w:pPr>
                    <w:jc w:val="center"/>
                    <w:rPr>
                      <w:rFonts w:hint="eastAsia" w:ascii="宋体" w:hAnsi="宋体" w:cs="宋体"/>
                      <w:color w:val="000000"/>
                      <w:szCs w:val="21"/>
                    </w:rPr>
                  </w:pPr>
                  <w:r>
                    <w:rPr>
                      <w:rFonts w:hint="eastAsia" w:ascii="宋体" w:hAnsi="宋体" w:cs="宋体"/>
                      <w:color w:val="000000"/>
                      <w:szCs w:val="21"/>
                    </w:rPr>
                    <w:t>Ⅱ</w:t>
                  </w:r>
                </w:p>
              </w:tc>
              <w:tc>
                <w:tcPr>
                  <w:tcW w:w="716" w:type="dxa"/>
                  <w:vAlign w:val="center"/>
                </w:tcPr>
                <w:p>
                  <w:pPr>
                    <w:jc w:val="center"/>
                    <w:rPr>
                      <w:rFonts w:hint="eastAsia" w:ascii="宋体" w:hAnsi="宋体" w:cs="宋体"/>
                      <w:color w:val="000000"/>
                      <w:szCs w:val="21"/>
                    </w:rPr>
                  </w:pPr>
                  <w:r>
                    <w:rPr>
                      <w:rFonts w:hint="eastAsia" w:ascii="宋体" w:hAnsi="宋体" w:cs="宋体"/>
                      <w:color w:val="000000"/>
                      <w:szCs w:val="21"/>
                    </w:rPr>
                    <w:t>Ⅲ</w:t>
                  </w:r>
                </w:p>
              </w:tc>
              <w:tc>
                <w:tcPr>
                  <w:tcW w:w="667" w:type="dxa"/>
                  <w:vAlign w:val="center"/>
                </w:tcPr>
                <w:p>
                  <w:pPr>
                    <w:jc w:val="center"/>
                    <w:rPr>
                      <w:color w:val="000000"/>
                      <w:szCs w:val="21"/>
                    </w:rPr>
                  </w:pPr>
                  <w:r>
                    <w:rPr>
                      <w:rFonts w:hint="eastAsia" w:ascii="宋体" w:hAnsi="宋体" w:eastAsia="宋体" w:cs="宋体"/>
                      <w:color w:val="000000"/>
                      <w:szCs w:val="21"/>
                    </w:rPr>
                    <w:t>Ⅳ</w:t>
                  </w:r>
                </w:p>
              </w:tc>
              <w:tc>
                <w:tcPr>
                  <w:tcW w:w="650" w:type="dxa"/>
                  <w:vAlign w:val="center"/>
                </w:tcPr>
                <w:p>
                  <w:pPr>
                    <w:jc w:val="center"/>
                    <w:rPr>
                      <w:rFonts w:hint="eastAsia" w:ascii="宋体" w:hAnsi="宋体" w:eastAsia="宋体" w:cs="宋体"/>
                      <w:color w:val="000000"/>
                      <w:szCs w:val="21"/>
                    </w:rPr>
                  </w:pPr>
                  <w:r>
                    <w:rPr>
                      <w:rFonts w:hint="eastAsia" w:ascii="宋体" w:hAnsi="宋体" w:eastAsia="宋体" w:cs="宋体"/>
                      <w:color w:val="000000"/>
                      <w:szCs w:val="21"/>
                    </w:rPr>
                    <w:t>Ｖ</w:t>
                  </w:r>
                </w:p>
              </w:tc>
              <w:tc>
                <w:tcPr>
                  <w:tcW w:w="650" w:type="dxa"/>
                  <w:vAlign w:val="center"/>
                </w:tcPr>
                <w:p>
                  <w:pPr>
                    <w:jc w:val="center"/>
                    <w:rPr>
                      <w:rFonts w:hint="eastAsia" w:ascii="宋体" w:hAnsi="宋体" w:eastAsia="宋体" w:cs="宋体"/>
                      <w:color w:val="000000"/>
                      <w:szCs w:val="21"/>
                    </w:rPr>
                  </w:pPr>
                  <w:r>
                    <w:rPr>
                      <w:rFonts w:hint="eastAsia" w:ascii="宋体" w:hAnsi="宋体" w:eastAsia="宋体" w:cs="宋体"/>
                      <w:color w:val="000000"/>
                      <w:szCs w:val="21"/>
                    </w:rPr>
                    <w:t>Ⅰ</w:t>
                  </w:r>
                </w:p>
              </w:tc>
              <w:tc>
                <w:tcPr>
                  <w:tcW w:w="667" w:type="dxa"/>
                  <w:vAlign w:val="center"/>
                </w:tcPr>
                <w:p>
                  <w:pPr>
                    <w:jc w:val="center"/>
                    <w:rPr>
                      <w:color w:val="000000"/>
                      <w:szCs w:val="21"/>
                    </w:rPr>
                  </w:pPr>
                  <w:r>
                    <w:rPr>
                      <w:rFonts w:hint="eastAsia" w:ascii="宋体" w:hAnsi="宋体" w:cs="宋体"/>
                      <w:color w:val="000000"/>
                      <w:szCs w:val="21"/>
                    </w:rPr>
                    <w:t>Ⅱ</w:t>
                  </w:r>
                </w:p>
              </w:tc>
              <w:tc>
                <w:tcPr>
                  <w:tcW w:w="683" w:type="dxa"/>
                  <w:vAlign w:val="center"/>
                </w:tcPr>
                <w:p>
                  <w:pPr>
                    <w:jc w:val="center"/>
                    <w:rPr>
                      <w:color w:val="000000"/>
                      <w:szCs w:val="21"/>
                    </w:rPr>
                  </w:pPr>
                  <w:r>
                    <w:rPr>
                      <w:rFonts w:hint="eastAsia" w:ascii="宋体" w:hAnsi="宋体" w:cs="宋体"/>
                      <w:color w:val="000000"/>
                      <w:szCs w:val="21"/>
                    </w:rPr>
                    <w:t>Ⅲ</w:t>
                  </w:r>
                </w:p>
              </w:tc>
              <w:tc>
                <w:tcPr>
                  <w:tcW w:w="583" w:type="dxa"/>
                  <w:vAlign w:val="center"/>
                </w:tcPr>
                <w:p>
                  <w:pPr>
                    <w:jc w:val="center"/>
                    <w:rPr>
                      <w:rFonts w:hint="eastAsia" w:ascii="宋体" w:hAnsi="宋体" w:cs="宋体"/>
                      <w:color w:val="000000"/>
                      <w:szCs w:val="21"/>
                    </w:rPr>
                  </w:pPr>
                  <w:r>
                    <w:rPr>
                      <w:rFonts w:hint="eastAsia" w:ascii="宋体" w:hAnsi="宋体" w:eastAsia="宋体" w:cs="宋体"/>
                      <w:color w:val="000000"/>
                      <w:szCs w:val="21"/>
                    </w:rPr>
                    <w:t>Ⅳ</w:t>
                  </w:r>
                </w:p>
              </w:tc>
              <w:tc>
                <w:tcPr>
                  <w:tcW w:w="650" w:type="dxa"/>
                  <w:vAlign w:val="center"/>
                </w:tcPr>
                <w:p>
                  <w:pPr>
                    <w:jc w:val="center"/>
                    <w:rPr>
                      <w:rFonts w:hint="eastAsia" w:ascii="宋体" w:hAnsi="宋体" w:cs="宋体"/>
                      <w:color w:val="000000"/>
                      <w:szCs w:val="21"/>
                    </w:rPr>
                  </w:pPr>
                  <w:r>
                    <w:rPr>
                      <w:rFonts w:hint="eastAsia" w:ascii="宋体" w:hAnsi="宋体" w:eastAsia="宋体" w:cs="宋体"/>
                      <w:color w:val="000000"/>
                      <w:szCs w:val="21"/>
                    </w:rPr>
                    <w:t>Ｖ</w:t>
                  </w:r>
                </w:p>
              </w:tc>
              <w:tc>
                <w:tcPr>
                  <w:tcW w:w="334" w:type="dxa"/>
                  <w:vMerge w:val="continue"/>
                  <w:vAlign w:val="center"/>
                </w:tcPr>
                <w:p>
                  <w:pPr>
                    <w:jc w:val="center"/>
                    <w:rPr>
                      <w:rFonts w:ascii="宋体" w:hAnsi="宋体" w:cs="宋体"/>
                      <w:color w:val="000000"/>
                      <w:szCs w:val="21"/>
                    </w:rPr>
                  </w:pPr>
                </w:p>
              </w:tc>
              <w:tc>
                <w:tcPr>
                  <w:tcW w:w="360" w:type="dxa"/>
                  <w:vMerge w:val="continue"/>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727" w:type="dxa"/>
                  <w:vMerge w:val="restart"/>
                  <w:vAlign w:val="center"/>
                </w:tcPr>
                <w:p>
                  <w:pPr>
                    <w:adjustRightInd w:val="0"/>
                    <w:jc w:val="center"/>
                    <w:textAlignment w:val="baseline"/>
                    <w:rPr>
                      <w:rFonts w:hint="eastAsia" w:eastAsia="宋体"/>
                      <w:szCs w:val="21"/>
                      <w:lang w:eastAsia="zh-CN"/>
                    </w:rPr>
                  </w:pPr>
                  <w:r>
                    <w:rPr>
                      <w:rFonts w:hint="eastAsia"/>
                      <w:szCs w:val="21"/>
                      <w:lang w:eastAsia="zh-CN"/>
                    </w:rPr>
                    <w:t>食堂油烟排气筒进口</w:t>
                  </w:r>
                </w:p>
              </w:tc>
              <w:tc>
                <w:tcPr>
                  <w:tcW w:w="1017" w:type="dxa"/>
                  <w:gridSpan w:val="2"/>
                  <w:vAlign w:val="center"/>
                </w:tcPr>
                <w:p>
                  <w:pPr>
                    <w:adjustRightInd w:val="0"/>
                    <w:jc w:val="center"/>
                    <w:textAlignment w:val="baseline"/>
                    <w:rPr>
                      <w:color w:val="000000"/>
                      <w:szCs w:val="21"/>
                    </w:rPr>
                  </w:pPr>
                  <w:r>
                    <w:rPr>
                      <w:color w:val="000000"/>
                      <w:szCs w:val="21"/>
                    </w:rPr>
                    <w:t>标干流量（m³/h）</w:t>
                  </w:r>
                </w:p>
              </w:tc>
              <w:tc>
                <w:tcPr>
                  <w:tcW w:w="700" w:type="dxa"/>
                  <w:vAlign w:val="center"/>
                </w:tcPr>
                <w:p>
                  <w:pPr>
                    <w:jc w:val="center"/>
                    <w:rPr>
                      <w:rFonts w:hint="eastAsia"/>
                      <w:color w:val="000000"/>
                      <w:szCs w:val="21"/>
                    </w:rPr>
                  </w:pPr>
                  <w:r>
                    <w:rPr>
                      <w:rFonts w:hint="eastAsia"/>
                      <w:color w:val="000000"/>
                      <w:szCs w:val="21"/>
                      <w:lang w:val="en-US" w:eastAsia="zh-CN"/>
                    </w:rPr>
                    <w:t>4011</w:t>
                  </w:r>
                </w:p>
              </w:tc>
              <w:tc>
                <w:tcPr>
                  <w:tcW w:w="667" w:type="dxa"/>
                  <w:vAlign w:val="center"/>
                </w:tcPr>
                <w:p>
                  <w:pPr>
                    <w:jc w:val="center"/>
                    <w:rPr>
                      <w:rFonts w:hint="eastAsia"/>
                      <w:color w:val="000000"/>
                      <w:szCs w:val="21"/>
                    </w:rPr>
                  </w:pPr>
                  <w:r>
                    <w:rPr>
                      <w:rFonts w:hint="eastAsia"/>
                      <w:color w:val="000000"/>
                      <w:szCs w:val="21"/>
                      <w:lang w:val="en-US" w:eastAsia="zh-CN"/>
                    </w:rPr>
                    <w:t>3876</w:t>
                  </w:r>
                </w:p>
              </w:tc>
              <w:tc>
                <w:tcPr>
                  <w:tcW w:w="716" w:type="dxa"/>
                  <w:vAlign w:val="center"/>
                </w:tcPr>
                <w:p>
                  <w:pPr>
                    <w:jc w:val="center"/>
                    <w:rPr>
                      <w:rFonts w:hint="eastAsia"/>
                      <w:color w:val="000000"/>
                      <w:szCs w:val="21"/>
                    </w:rPr>
                  </w:pPr>
                  <w:r>
                    <w:rPr>
                      <w:rFonts w:hint="eastAsia"/>
                      <w:color w:val="000000"/>
                      <w:szCs w:val="21"/>
                      <w:lang w:val="en-US" w:eastAsia="zh-CN"/>
                    </w:rPr>
                    <w:t>3928</w:t>
                  </w:r>
                </w:p>
              </w:tc>
              <w:tc>
                <w:tcPr>
                  <w:tcW w:w="667" w:type="dxa"/>
                  <w:vAlign w:val="center"/>
                </w:tcPr>
                <w:p>
                  <w:pPr>
                    <w:jc w:val="center"/>
                    <w:rPr>
                      <w:rFonts w:hint="eastAsia"/>
                      <w:color w:val="000000"/>
                      <w:szCs w:val="21"/>
                    </w:rPr>
                  </w:pPr>
                  <w:r>
                    <w:rPr>
                      <w:rFonts w:hint="eastAsia"/>
                      <w:color w:val="000000"/>
                      <w:szCs w:val="21"/>
                      <w:lang w:val="en-US" w:eastAsia="zh-CN"/>
                    </w:rPr>
                    <w:t>3795</w:t>
                  </w:r>
                </w:p>
              </w:tc>
              <w:tc>
                <w:tcPr>
                  <w:tcW w:w="650" w:type="dxa"/>
                  <w:vAlign w:val="center"/>
                </w:tcPr>
                <w:p>
                  <w:pPr>
                    <w:jc w:val="center"/>
                    <w:rPr>
                      <w:rFonts w:hint="eastAsia"/>
                      <w:color w:val="000000"/>
                      <w:szCs w:val="21"/>
                    </w:rPr>
                  </w:pPr>
                  <w:r>
                    <w:rPr>
                      <w:rFonts w:hint="eastAsia"/>
                      <w:color w:val="000000"/>
                      <w:szCs w:val="21"/>
                      <w:lang w:val="en-US" w:eastAsia="zh-CN"/>
                    </w:rPr>
                    <w:t>3884</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3942</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3897</w:t>
                  </w:r>
                </w:p>
              </w:tc>
              <w:tc>
                <w:tcPr>
                  <w:tcW w:w="683" w:type="dxa"/>
                  <w:vAlign w:val="center"/>
                </w:tcPr>
                <w:p>
                  <w:pPr>
                    <w:jc w:val="center"/>
                    <w:rPr>
                      <w:rFonts w:hint="eastAsia"/>
                      <w:color w:val="000000"/>
                      <w:szCs w:val="21"/>
                      <w:lang w:val="en-US" w:eastAsia="zh-CN"/>
                    </w:rPr>
                  </w:pPr>
                  <w:r>
                    <w:rPr>
                      <w:rFonts w:hint="eastAsia"/>
                      <w:color w:val="000000"/>
                      <w:szCs w:val="21"/>
                      <w:lang w:val="en-US" w:eastAsia="zh-CN"/>
                    </w:rPr>
                    <w:t>3962</w:t>
                  </w:r>
                </w:p>
              </w:tc>
              <w:tc>
                <w:tcPr>
                  <w:tcW w:w="583" w:type="dxa"/>
                  <w:vAlign w:val="center"/>
                </w:tcPr>
                <w:p>
                  <w:pPr>
                    <w:jc w:val="center"/>
                    <w:rPr>
                      <w:rFonts w:hint="eastAsia"/>
                      <w:color w:val="000000"/>
                      <w:szCs w:val="21"/>
                      <w:lang w:val="en-US" w:eastAsia="zh-CN"/>
                    </w:rPr>
                  </w:pPr>
                  <w:r>
                    <w:rPr>
                      <w:rFonts w:hint="eastAsia"/>
                      <w:color w:val="000000"/>
                      <w:szCs w:val="21"/>
                      <w:lang w:val="en-US" w:eastAsia="zh-CN"/>
                    </w:rPr>
                    <w:t>3947</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3886</w:t>
                  </w:r>
                </w:p>
              </w:tc>
              <w:tc>
                <w:tcPr>
                  <w:tcW w:w="334" w:type="dxa"/>
                  <w:vAlign w:val="center"/>
                </w:tcPr>
                <w:p>
                  <w:pPr>
                    <w:jc w:val="center"/>
                    <w:rPr>
                      <w:rFonts w:hint="eastAsia"/>
                      <w:color w:val="000000"/>
                      <w:szCs w:val="21"/>
                      <w:lang w:val="en-US" w:eastAsia="zh-CN"/>
                    </w:rPr>
                  </w:pPr>
                  <w:r>
                    <w:rPr>
                      <w:rFonts w:hint="eastAsia"/>
                      <w:color w:val="000000"/>
                      <w:szCs w:val="21"/>
                      <w:lang w:val="en-US" w:eastAsia="zh-CN"/>
                    </w:rPr>
                    <w:t>/</w:t>
                  </w:r>
                </w:p>
              </w:tc>
              <w:tc>
                <w:tcPr>
                  <w:tcW w:w="360" w:type="dxa"/>
                  <w:vAlign w:val="center"/>
                </w:tcPr>
                <w:p>
                  <w:pPr>
                    <w:adjustRightInd w:val="0"/>
                    <w:jc w:val="center"/>
                    <w:textAlignment w:val="baseline"/>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exact"/>
                <w:jc w:val="center"/>
              </w:trPr>
              <w:tc>
                <w:tcPr>
                  <w:tcW w:w="727" w:type="dxa"/>
                  <w:vMerge w:val="continue"/>
                  <w:vAlign w:val="center"/>
                </w:tcPr>
                <w:p>
                  <w:pPr>
                    <w:adjustRightInd w:val="0"/>
                    <w:jc w:val="center"/>
                    <w:textAlignment w:val="baseline"/>
                    <w:rPr>
                      <w:szCs w:val="21"/>
                    </w:rPr>
                  </w:pPr>
                </w:p>
              </w:tc>
              <w:tc>
                <w:tcPr>
                  <w:tcW w:w="367" w:type="dxa"/>
                  <w:vMerge w:val="restart"/>
                  <w:vAlign w:val="center"/>
                </w:tcPr>
                <w:p>
                  <w:pPr>
                    <w:adjustRightInd w:val="0"/>
                    <w:jc w:val="center"/>
                    <w:textAlignment w:val="baseline"/>
                    <w:rPr>
                      <w:rFonts w:hint="eastAsia" w:eastAsia="宋体"/>
                      <w:color w:val="000000"/>
                      <w:szCs w:val="21"/>
                      <w:lang w:eastAsia="zh-CN"/>
                    </w:rPr>
                  </w:pPr>
                  <w:r>
                    <w:rPr>
                      <w:rFonts w:hint="eastAsia"/>
                      <w:color w:val="000000"/>
                      <w:szCs w:val="21"/>
                      <w:lang w:eastAsia="zh-CN"/>
                    </w:rPr>
                    <w:t>食堂油烟</w:t>
                  </w:r>
                </w:p>
              </w:tc>
              <w:tc>
                <w:tcPr>
                  <w:tcW w:w="650" w:type="dxa"/>
                  <w:vAlign w:val="center"/>
                </w:tcPr>
                <w:p>
                  <w:pPr>
                    <w:adjustRightInd w:val="0"/>
                    <w:jc w:val="center"/>
                    <w:textAlignment w:val="baseline"/>
                    <w:rPr>
                      <w:rFonts w:hint="default" w:eastAsia="宋体"/>
                      <w:color w:val="FF0000"/>
                      <w:szCs w:val="21"/>
                      <w:lang w:val="en-US" w:eastAsia="zh-CN"/>
                    </w:rPr>
                  </w:pPr>
                  <w:r>
                    <w:rPr>
                      <w:rFonts w:hint="eastAsia"/>
                      <w:color w:val="auto"/>
                      <w:szCs w:val="21"/>
                      <w:lang w:val="en-US" w:eastAsia="zh-CN"/>
                    </w:rPr>
                    <w:t>排放浓度（</w:t>
                  </w:r>
                  <w:r>
                    <w:rPr>
                      <w:color w:val="auto"/>
                      <w:szCs w:val="21"/>
                    </w:rPr>
                    <w:t>mg/m³</w:t>
                  </w:r>
                  <w:r>
                    <w:rPr>
                      <w:rFonts w:hint="eastAsia"/>
                      <w:color w:val="auto"/>
                      <w:szCs w:val="21"/>
                      <w:lang w:val="en-US" w:eastAsia="zh-CN"/>
                    </w:rPr>
                    <w:t>）</w:t>
                  </w:r>
                </w:p>
              </w:tc>
              <w:tc>
                <w:tcPr>
                  <w:tcW w:w="700" w:type="dxa"/>
                  <w:vAlign w:val="center"/>
                </w:tcPr>
                <w:p>
                  <w:pPr>
                    <w:jc w:val="center"/>
                    <w:rPr>
                      <w:rFonts w:hint="eastAsia"/>
                      <w:color w:val="000000"/>
                      <w:szCs w:val="21"/>
                      <w:lang w:val="en-US" w:eastAsia="zh-CN"/>
                    </w:rPr>
                  </w:pPr>
                  <w:r>
                    <w:rPr>
                      <w:rFonts w:hint="eastAsia"/>
                      <w:color w:val="000000"/>
                      <w:szCs w:val="21"/>
                      <w:lang w:val="en-US" w:eastAsia="zh-CN"/>
                    </w:rPr>
                    <w:t>10.3</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9.5</w:t>
                  </w:r>
                </w:p>
              </w:tc>
              <w:tc>
                <w:tcPr>
                  <w:tcW w:w="716" w:type="dxa"/>
                  <w:vAlign w:val="center"/>
                </w:tcPr>
                <w:p>
                  <w:pPr>
                    <w:jc w:val="center"/>
                    <w:rPr>
                      <w:rFonts w:hint="eastAsia"/>
                      <w:color w:val="000000"/>
                      <w:szCs w:val="21"/>
                      <w:lang w:val="en-US" w:eastAsia="zh-CN"/>
                    </w:rPr>
                  </w:pPr>
                  <w:r>
                    <w:rPr>
                      <w:rFonts w:hint="eastAsia"/>
                      <w:color w:val="000000"/>
                      <w:szCs w:val="21"/>
                      <w:lang w:val="en-US" w:eastAsia="zh-CN"/>
                    </w:rPr>
                    <w:t>10.5</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10.7</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10.6</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10.9</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11.2</w:t>
                  </w:r>
                </w:p>
              </w:tc>
              <w:tc>
                <w:tcPr>
                  <w:tcW w:w="683" w:type="dxa"/>
                  <w:vAlign w:val="center"/>
                </w:tcPr>
                <w:p>
                  <w:pPr>
                    <w:jc w:val="center"/>
                    <w:rPr>
                      <w:rFonts w:hint="eastAsia"/>
                      <w:color w:val="000000"/>
                      <w:szCs w:val="21"/>
                      <w:lang w:val="en-US" w:eastAsia="zh-CN"/>
                    </w:rPr>
                  </w:pPr>
                  <w:r>
                    <w:rPr>
                      <w:rFonts w:hint="eastAsia"/>
                      <w:color w:val="000000"/>
                      <w:szCs w:val="21"/>
                      <w:lang w:val="en-US" w:eastAsia="zh-CN"/>
                    </w:rPr>
                    <w:t>10.5</w:t>
                  </w:r>
                </w:p>
              </w:tc>
              <w:tc>
                <w:tcPr>
                  <w:tcW w:w="583" w:type="dxa"/>
                  <w:vAlign w:val="center"/>
                </w:tcPr>
                <w:p>
                  <w:pPr>
                    <w:jc w:val="center"/>
                    <w:rPr>
                      <w:rFonts w:hint="eastAsia"/>
                      <w:color w:val="000000"/>
                      <w:szCs w:val="21"/>
                      <w:lang w:val="en-US" w:eastAsia="zh-CN"/>
                    </w:rPr>
                  </w:pPr>
                  <w:r>
                    <w:rPr>
                      <w:rFonts w:hint="eastAsia"/>
                      <w:color w:val="000000"/>
                      <w:szCs w:val="21"/>
                      <w:lang w:val="en-US" w:eastAsia="zh-CN"/>
                    </w:rPr>
                    <w:t>10.4</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11.3</w:t>
                  </w:r>
                </w:p>
              </w:tc>
              <w:tc>
                <w:tcPr>
                  <w:tcW w:w="334"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360" w:type="dxa"/>
                  <w:vAlign w:val="center"/>
                </w:tcPr>
                <w:p>
                  <w:pPr>
                    <w:adjustRightInd w:val="0"/>
                    <w:jc w:val="center"/>
                    <w:textAlignment w:val="baseline"/>
                    <w:rPr>
                      <w:rFonts w:hint="eastAsia" w:eastAsia="宋体"/>
                      <w:color w:val="000000"/>
                      <w:szCs w:val="21"/>
                      <w:lang w:val="en-US" w:eastAsia="zh-CN"/>
                    </w:rPr>
                  </w:pPr>
                  <w:r>
                    <w:rPr>
                      <w:rFonts w:hint="eastAsia"/>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7" w:hRule="exact"/>
                <w:jc w:val="center"/>
              </w:trPr>
              <w:tc>
                <w:tcPr>
                  <w:tcW w:w="727" w:type="dxa"/>
                  <w:vMerge w:val="continue"/>
                  <w:vAlign w:val="center"/>
                </w:tcPr>
                <w:p>
                  <w:pPr>
                    <w:adjustRightInd w:val="0"/>
                    <w:jc w:val="center"/>
                    <w:textAlignment w:val="baseline"/>
                    <w:rPr>
                      <w:szCs w:val="21"/>
                    </w:rPr>
                  </w:pPr>
                </w:p>
              </w:tc>
              <w:tc>
                <w:tcPr>
                  <w:tcW w:w="367" w:type="dxa"/>
                  <w:vMerge w:val="continue"/>
                  <w:vAlign w:val="center"/>
                </w:tcPr>
                <w:p>
                  <w:pPr>
                    <w:adjustRightInd w:val="0"/>
                    <w:jc w:val="center"/>
                    <w:textAlignment w:val="baseline"/>
                    <w:rPr>
                      <w:color w:val="000000"/>
                      <w:szCs w:val="21"/>
                    </w:rPr>
                  </w:pPr>
                </w:p>
              </w:tc>
              <w:tc>
                <w:tcPr>
                  <w:tcW w:w="650" w:type="dxa"/>
                  <w:vAlign w:val="center"/>
                </w:tcPr>
                <w:p>
                  <w:pPr>
                    <w:adjustRightInd w:val="0"/>
                    <w:jc w:val="center"/>
                    <w:textAlignment w:val="baseline"/>
                    <w:rPr>
                      <w:color w:val="000000"/>
                      <w:szCs w:val="21"/>
                    </w:rPr>
                  </w:pPr>
                  <w:r>
                    <w:rPr>
                      <w:color w:val="000000"/>
                      <w:szCs w:val="21"/>
                    </w:rPr>
                    <w:t>排放</w:t>
                  </w:r>
                  <w:r>
                    <w:rPr>
                      <w:rFonts w:hint="eastAsia"/>
                      <w:color w:val="000000"/>
                      <w:szCs w:val="21"/>
                      <w:lang w:eastAsia="zh-CN"/>
                    </w:rPr>
                    <w:t>浓度均值</w:t>
                  </w:r>
                  <w:r>
                    <w:rPr>
                      <w:color w:val="000000"/>
                      <w:szCs w:val="21"/>
                    </w:rPr>
                    <w:t>（</w:t>
                  </w:r>
                  <w:r>
                    <w:rPr>
                      <w:rFonts w:hint="eastAsia"/>
                      <w:color w:val="000000"/>
                      <w:szCs w:val="21"/>
                      <w:lang w:val="en-US" w:eastAsia="zh-CN"/>
                    </w:rPr>
                    <w:t>mg</w:t>
                  </w:r>
                  <w:r>
                    <w:rPr>
                      <w:color w:val="000000"/>
                      <w:szCs w:val="21"/>
                    </w:rPr>
                    <w:t>/</w:t>
                  </w:r>
                  <w:r>
                    <w:rPr>
                      <w:rFonts w:hint="eastAsia"/>
                      <w:color w:val="000000"/>
                      <w:szCs w:val="21"/>
                      <w:lang w:val="en-US" w:eastAsia="zh-CN"/>
                    </w:rPr>
                    <w:t>m</w:t>
                  </w:r>
                  <w:r>
                    <w:rPr>
                      <w:rFonts w:hint="eastAsia"/>
                      <w:color w:val="000000"/>
                      <w:szCs w:val="21"/>
                      <w:vertAlign w:val="superscript"/>
                      <w:lang w:val="en-US" w:eastAsia="zh-CN"/>
                    </w:rPr>
                    <w:t>3</w:t>
                  </w:r>
                  <w:r>
                    <w:rPr>
                      <w:color w:val="000000"/>
                      <w:szCs w:val="21"/>
                    </w:rPr>
                    <w:t>）</w:t>
                  </w:r>
                </w:p>
              </w:tc>
              <w:tc>
                <w:tcPr>
                  <w:tcW w:w="3400" w:type="dxa"/>
                  <w:gridSpan w:val="5"/>
                  <w:vAlign w:val="center"/>
                </w:tcPr>
                <w:p>
                  <w:pPr>
                    <w:jc w:val="center"/>
                    <w:rPr>
                      <w:rFonts w:hint="default" w:eastAsia="宋体"/>
                      <w:color w:val="000000"/>
                      <w:szCs w:val="21"/>
                      <w:lang w:val="en-US" w:eastAsia="zh-CN"/>
                    </w:rPr>
                  </w:pPr>
                  <w:r>
                    <w:rPr>
                      <w:rFonts w:hint="eastAsia"/>
                      <w:color w:val="000000"/>
                      <w:szCs w:val="21"/>
                      <w:lang w:val="en-US" w:eastAsia="zh-CN"/>
                    </w:rPr>
                    <w:t>10.9</w:t>
                  </w:r>
                </w:p>
              </w:tc>
              <w:tc>
                <w:tcPr>
                  <w:tcW w:w="3233" w:type="dxa"/>
                  <w:gridSpan w:val="5"/>
                  <w:vAlign w:val="center"/>
                </w:tcPr>
                <w:p>
                  <w:pPr>
                    <w:jc w:val="center"/>
                    <w:rPr>
                      <w:rFonts w:hint="default" w:eastAsia="宋体"/>
                      <w:color w:val="000000"/>
                      <w:szCs w:val="21"/>
                      <w:lang w:val="en-US" w:eastAsia="zh-CN"/>
                    </w:rPr>
                  </w:pPr>
                  <w:r>
                    <w:rPr>
                      <w:rFonts w:hint="eastAsia"/>
                      <w:color w:val="000000"/>
                      <w:szCs w:val="21"/>
                      <w:lang w:val="en-US" w:eastAsia="zh-CN"/>
                    </w:rPr>
                    <w:t>10.9</w:t>
                  </w:r>
                </w:p>
              </w:tc>
              <w:tc>
                <w:tcPr>
                  <w:tcW w:w="334" w:type="dxa"/>
                  <w:vAlign w:val="center"/>
                </w:tcPr>
                <w:p>
                  <w:pPr>
                    <w:adjustRightInd w:val="0"/>
                    <w:jc w:val="center"/>
                    <w:textAlignment w:val="baseline"/>
                    <w:rPr>
                      <w:color w:val="FF0000"/>
                      <w:szCs w:val="21"/>
                    </w:rPr>
                  </w:pPr>
                  <w:r>
                    <w:rPr>
                      <w:rFonts w:hint="eastAsia"/>
                      <w:color w:val="000000"/>
                      <w:szCs w:val="21"/>
                    </w:rPr>
                    <w:t>/</w:t>
                  </w:r>
                </w:p>
              </w:tc>
              <w:tc>
                <w:tcPr>
                  <w:tcW w:w="360" w:type="dxa"/>
                  <w:vAlign w:val="center"/>
                </w:tcPr>
                <w:p>
                  <w:pPr>
                    <w:adjustRightInd w:val="0"/>
                    <w:jc w:val="center"/>
                    <w:textAlignment w:val="baseline"/>
                    <w:rPr>
                      <w:b/>
                      <w:bCs/>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exact"/>
                <w:jc w:val="center"/>
              </w:trPr>
              <w:tc>
                <w:tcPr>
                  <w:tcW w:w="727" w:type="dxa"/>
                  <w:vMerge w:val="restart"/>
                  <w:vAlign w:val="center"/>
                </w:tcPr>
                <w:p>
                  <w:pPr>
                    <w:adjustRightInd w:val="0"/>
                    <w:jc w:val="center"/>
                    <w:textAlignment w:val="baseline"/>
                    <w:rPr>
                      <w:szCs w:val="21"/>
                    </w:rPr>
                  </w:pPr>
                  <w:r>
                    <w:rPr>
                      <w:rFonts w:hint="eastAsia"/>
                      <w:color w:val="000000"/>
                      <w:szCs w:val="21"/>
                      <w:lang w:eastAsia="zh-CN"/>
                    </w:rPr>
                    <w:t>食堂油烟</w:t>
                  </w:r>
                  <w:r>
                    <w:rPr>
                      <w:rFonts w:hint="eastAsia"/>
                      <w:color w:val="000000"/>
                      <w:szCs w:val="21"/>
                    </w:rPr>
                    <w:t>排气筒出口</w:t>
                  </w:r>
                </w:p>
              </w:tc>
              <w:tc>
                <w:tcPr>
                  <w:tcW w:w="1017" w:type="dxa"/>
                  <w:gridSpan w:val="2"/>
                  <w:vAlign w:val="center"/>
                </w:tcPr>
                <w:p>
                  <w:pPr>
                    <w:adjustRightInd w:val="0"/>
                    <w:jc w:val="center"/>
                    <w:textAlignment w:val="baseline"/>
                    <w:rPr>
                      <w:color w:val="000000"/>
                      <w:szCs w:val="21"/>
                    </w:rPr>
                  </w:pPr>
                  <w:r>
                    <w:rPr>
                      <w:color w:val="000000"/>
                      <w:szCs w:val="21"/>
                    </w:rPr>
                    <w:t>标干流量（m³/h）</w:t>
                  </w:r>
                </w:p>
              </w:tc>
              <w:tc>
                <w:tcPr>
                  <w:tcW w:w="700" w:type="dxa"/>
                  <w:vAlign w:val="center"/>
                </w:tcPr>
                <w:p>
                  <w:pPr>
                    <w:jc w:val="center"/>
                    <w:rPr>
                      <w:rFonts w:hint="eastAsia"/>
                      <w:color w:val="000000"/>
                      <w:szCs w:val="21"/>
                      <w:lang w:val="en-US" w:eastAsia="zh-CN"/>
                    </w:rPr>
                  </w:pPr>
                  <w:r>
                    <w:rPr>
                      <w:rFonts w:hint="eastAsia"/>
                      <w:color w:val="000000"/>
                      <w:szCs w:val="21"/>
                      <w:lang w:val="en-US" w:eastAsia="zh-CN"/>
                    </w:rPr>
                    <w:t>3986</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3849</w:t>
                  </w:r>
                </w:p>
              </w:tc>
              <w:tc>
                <w:tcPr>
                  <w:tcW w:w="716" w:type="dxa"/>
                  <w:vAlign w:val="center"/>
                </w:tcPr>
                <w:p>
                  <w:pPr>
                    <w:jc w:val="center"/>
                    <w:rPr>
                      <w:rFonts w:hint="eastAsia"/>
                      <w:color w:val="000000"/>
                      <w:szCs w:val="21"/>
                      <w:lang w:val="en-US" w:eastAsia="zh-CN"/>
                    </w:rPr>
                  </w:pPr>
                  <w:r>
                    <w:rPr>
                      <w:rFonts w:hint="eastAsia"/>
                      <w:color w:val="000000"/>
                      <w:szCs w:val="21"/>
                      <w:lang w:val="en-US" w:eastAsia="zh-CN"/>
                    </w:rPr>
                    <w:t>3943</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3957</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3962</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1008</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1106</w:t>
                  </w:r>
                </w:p>
              </w:tc>
              <w:tc>
                <w:tcPr>
                  <w:tcW w:w="683" w:type="dxa"/>
                  <w:vAlign w:val="center"/>
                </w:tcPr>
                <w:p>
                  <w:pPr>
                    <w:jc w:val="center"/>
                    <w:rPr>
                      <w:rFonts w:hint="eastAsia"/>
                      <w:color w:val="000000"/>
                      <w:szCs w:val="21"/>
                      <w:lang w:val="en-US" w:eastAsia="zh-CN"/>
                    </w:rPr>
                  </w:pPr>
                  <w:r>
                    <w:rPr>
                      <w:rFonts w:hint="eastAsia"/>
                      <w:color w:val="000000"/>
                      <w:szCs w:val="21"/>
                      <w:lang w:val="en-US" w:eastAsia="zh-CN"/>
                    </w:rPr>
                    <w:t>3937</w:t>
                  </w:r>
                </w:p>
              </w:tc>
              <w:tc>
                <w:tcPr>
                  <w:tcW w:w="583" w:type="dxa"/>
                  <w:vAlign w:val="center"/>
                </w:tcPr>
                <w:p>
                  <w:pPr>
                    <w:jc w:val="center"/>
                    <w:rPr>
                      <w:rFonts w:hint="eastAsia"/>
                      <w:color w:val="000000"/>
                      <w:szCs w:val="21"/>
                      <w:lang w:val="en-US" w:eastAsia="zh-CN"/>
                    </w:rPr>
                  </w:pPr>
                  <w:r>
                    <w:rPr>
                      <w:rFonts w:hint="eastAsia"/>
                      <w:color w:val="000000"/>
                      <w:szCs w:val="21"/>
                      <w:lang w:val="en-US" w:eastAsia="zh-CN"/>
                    </w:rPr>
                    <w:t>3984</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3967</w:t>
                  </w:r>
                </w:p>
              </w:tc>
              <w:tc>
                <w:tcPr>
                  <w:tcW w:w="334" w:type="dxa"/>
                  <w:vAlign w:val="center"/>
                </w:tcPr>
                <w:p>
                  <w:pPr>
                    <w:adjustRightInd w:val="0"/>
                    <w:jc w:val="center"/>
                    <w:textAlignment w:val="baseline"/>
                    <w:rPr>
                      <w:szCs w:val="21"/>
                    </w:rPr>
                  </w:pPr>
                  <w:r>
                    <w:rPr>
                      <w:rFonts w:hint="eastAsia"/>
                      <w:color w:val="000000"/>
                      <w:szCs w:val="21"/>
                    </w:rPr>
                    <w:t>/</w:t>
                  </w:r>
                </w:p>
              </w:tc>
              <w:tc>
                <w:tcPr>
                  <w:tcW w:w="360" w:type="dxa"/>
                  <w:vAlign w:val="center"/>
                </w:tcPr>
                <w:p>
                  <w:pPr>
                    <w:adjustRightInd w:val="0"/>
                    <w:jc w:val="center"/>
                    <w:textAlignment w:val="baseline"/>
                    <w:rPr>
                      <w:b/>
                      <w:bCs/>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exact"/>
                <w:jc w:val="center"/>
              </w:trPr>
              <w:tc>
                <w:tcPr>
                  <w:tcW w:w="727" w:type="dxa"/>
                  <w:vMerge w:val="continue"/>
                  <w:vAlign w:val="center"/>
                </w:tcPr>
                <w:p>
                  <w:pPr>
                    <w:adjustRightInd w:val="0"/>
                    <w:jc w:val="center"/>
                    <w:textAlignment w:val="baseline"/>
                    <w:rPr>
                      <w:szCs w:val="21"/>
                    </w:rPr>
                  </w:pPr>
                </w:p>
              </w:tc>
              <w:tc>
                <w:tcPr>
                  <w:tcW w:w="367" w:type="dxa"/>
                  <w:vMerge w:val="restart"/>
                  <w:vAlign w:val="center"/>
                </w:tcPr>
                <w:p>
                  <w:pPr>
                    <w:adjustRightInd w:val="0"/>
                    <w:jc w:val="center"/>
                    <w:textAlignment w:val="baseline"/>
                    <w:rPr>
                      <w:color w:val="000000"/>
                      <w:szCs w:val="21"/>
                    </w:rPr>
                  </w:pPr>
                  <w:r>
                    <w:rPr>
                      <w:rFonts w:hint="eastAsia"/>
                      <w:color w:val="000000"/>
                      <w:szCs w:val="21"/>
                      <w:lang w:eastAsia="zh-CN"/>
                    </w:rPr>
                    <w:t>食堂油烟</w:t>
                  </w:r>
                </w:p>
              </w:tc>
              <w:tc>
                <w:tcPr>
                  <w:tcW w:w="650" w:type="dxa"/>
                  <w:vAlign w:val="center"/>
                </w:tcPr>
                <w:p>
                  <w:pPr>
                    <w:adjustRightInd w:val="0"/>
                    <w:jc w:val="center"/>
                    <w:textAlignment w:val="baseline"/>
                    <w:rPr>
                      <w:color w:val="000000"/>
                      <w:szCs w:val="21"/>
                    </w:rPr>
                  </w:pPr>
                  <w:r>
                    <w:rPr>
                      <w:rFonts w:hint="eastAsia"/>
                      <w:color w:val="auto"/>
                      <w:szCs w:val="21"/>
                      <w:lang w:val="en-US" w:eastAsia="zh-CN"/>
                    </w:rPr>
                    <w:t>排放浓度（</w:t>
                  </w:r>
                  <w:r>
                    <w:rPr>
                      <w:color w:val="auto"/>
                      <w:szCs w:val="21"/>
                    </w:rPr>
                    <w:t>mg/m³</w:t>
                  </w:r>
                  <w:r>
                    <w:rPr>
                      <w:rFonts w:hint="eastAsia"/>
                      <w:color w:val="auto"/>
                      <w:szCs w:val="21"/>
                      <w:lang w:val="en-US" w:eastAsia="zh-CN"/>
                    </w:rPr>
                    <w:t>）</w:t>
                  </w:r>
                </w:p>
              </w:tc>
              <w:tc>
                <w:tcPr>
                  <w:tcW w:w="700" w:type="dxa"/>
                  <w:vAlign w:val="center"/>
                </w:tcPr>
                <w:p>
                  <w:pPr>
                    <w:jc w:val="center"/>
                    <w:rPr>
                      <w:rFonts w:hint="eastAsia"/>
                      <w:color w:val="000000"/>
                      <w:szCs w:val="21"/>
                      <w:lang w:val="en-US" w:eastAsia="zh-CN"/>
                    </w:rPr>
                  </w:pPr>
                  <w:r>
                    <w:rPr>
                      <w:rFonts w:hint="eastAsia"/>
                      <w:color w:val="000000"/>
                      <w:szCs w:val="21"/>
                      <w:lang w:val="en-US" w:eastAsia="zh-CN"/>
                    </w:rPr>
                    <w:t>1.5</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1.6</w:t>
                  </w:r>
                </w:p>
              </w:tc>
              <w:tc>
                <w:tcPr>
                  <w:tcW w:w="716" w:type="dxa"/>
                  <w:vAlign w:val="center"/>
                </w:tcPr>
                <w:p>
                  <w:pPr>
                    <w:jc w:val="center"/>
                    <w:rPr>
                      <w:rFonts w:hint="eastAsia"/>
                      <w:color w:val="000000"/>
                      <w:szCs w:val="21"/>
                      <w:lang w:val="en-US" w:eastAsia="zh-CN"/>
                    </w:rPr>
                  </w:pPr>
                  <w:r>
                    <w:rPr>
                      <w:rFonts w:hint="eastAsia"/>
                      <w:color w:val="000000"/>
                      <w:szCs w:val="21"/>
                      <w:lang w:val="en-US" w:eastAsia="zh-CN"/>
                    </w:rPr>
                    <w:t>1.4</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1.5</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1.4</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1.3</w:t>
                  </w:r>
                </w:p>
              </w:tc>
              <w:tc>
                <w:tcPr>
                  <w:tcW w:w="667" w:type="dxa"/>
                  <w:vAlign w:val="center"/>
                </w:tcPr>
                <w:p>
                  <w:pPr>
                    <w:jc w:val="center"/>
                    <w:rPr>
                      <w:rFonts w:hint="eastAsia"/>
                      <w:color w:val="000000"/>
                      <w:szCs w:val="21"/>
                      <w:lang w:val="en-US" w:eastAsia="zh-CN"/>
                    </w:rPr>
                  </w:pPr>
                  <w:r>
                    <w:rPr>
                      <w:rFonts w:hint="eastAsia"/>
                      <w:color w:val="000000"/>
                      <w:szCs w:val="21"/>
                      <w:lang w:val="en-US" w:eastAsia="zh-CN"/>
                    </w:rPr>
                    <w:t>1.6</w:t>
                  </w:r>
                </w:p>
              </w:tc>
              <w:tc>
                <w:tcPr>
                  <w:tcW w:w="683" w:type="dxa"/>
                  <w:vAlign w:val="center"/>
                </w:tcPr>
                <w:p>
                  <w:pPr>
                    <w:jc w:val="center"/>
                    <w:rPr>
                      <w:rFonts w:hint="eastAsia"/>
                      <w:color w:val="000000"/>
                      <w:szCs w:val="21"/>
                      <w:lang w:val="en-US" w:eastAsia="zh-CN"/>
                    </w:rPr>
                  </w:pPr>
                  <w:r>
                    <w:rPr>
                      <w:rFonts w:hint="eastAsia"/>
                      <w:color w:val="000000"/>
                      <w:szCs w:val="21"/>
                      <w:lang w:val="en-US" w:eastAsia="zh-CN"/>
                    </w:rPr>
                    <w:t>1.4</w:t>
                  </w:r>
                </w:p>
              </w:tc>
              <w:tc>
                <w:tcPr>
                  <w:tcW w:w="583" w:type="dxa"/>
                  <w:vAlign w:val="center"/>
                </w:tcPr>
                <w:p>
                  <w:pPr>
                    <w:jc w:val="center"/>
                    <w:rPr>
                      <w:rFonts w:hint="eastAsia"/>
                      <w:color w:val="000000"/>
                      <w:szCs w:val="21"/>
                      <w:lang w:val="en-US" w:eastAsia="zh-CN"/>
                    </w:rPr>
                  </w:pPr>
                  <w:r>
                    <w:rPr>
                      <w:rFonts w:hint="eastAsia"/>
                      <w:color w:val="000000"/>
                      <w:szCs w:val="21"/>
                      <w:lang w:val="en-US" w:eastAsia="zh-CN"/>
                    </w:rPr>
                    <w:t>1.5</w:t>
                  </w:r>
                </w:p>
              </w:tc>
              <w:tc>
                <w:tcPr>
                  <w:tcW w:w="650" w:type="dxa"/>
                  <w:vAlign w:val="center"/>
                </w:tcPr>
                <w:p>
                  <w:pPr>
                    <w:jc w:val="center"/>
                    <w:rPr>
                      <w:rFonts w:hint="eastAsia"/>
                      <w:color w:val="000000"/>
                      <w:szCs w:val="21"/>
                      <w:lang w:val="en-US" w:eastAsia="zh-CN"/>
                    </w:rPr>
                  </w:pPr>
                  <w:r>
                    <w:rPr>
                      <w:rFonts w:hint="eastAsia"/>
                      <w:color w:val="000000"/>
                      <w:szCs w:val="21"/>
                      <w:lang w:val="en-US" w:eastAsia="zh-CN"/>
                    </w:rPr>
                    <w:t>1.6</w:t>
                  </w:r>
                </w:p>
              </w:tc>
              <w:tc>
                <w:tcPr>
                  <w:tcW w:w="334" w:type="dxa"/>
                  <w:vAlign w:val="center"/>
                </w:tcPr>
                <w:p>
                  <w:pPr>
                    <w:adjustRightInd w:val="0"/>
                    <w:jc w:val="center"/>
                    <w:textAlignment w:val="baseline"/>
                    <w:rPr>
                      <w:rFonts w:hint="eastAsia" w:eastAsia="宋体"/>
                      <w:color w:val="0000FF"/>
                      <w:szCs w:val="21"/>
                      <w:lang w:eastAsia="zh-CN"/>
                    </w:rPr>
                  </w:pPr>
                  <w:r>
                    <w:rPr>
                      <w:rFonts w:hint="eastAsia"/>
                      <w:szCs w:val="21"/>
                      <w:lang w:val="en-US" w:eastAsia="zh-CN"/>
                    </w:rPr>
                    <w:t>/</w:t>
                  </w:r>
                </w:p>
              </w:tc>
              <w:tc>
                <w:tcPr>
                  <w:tcW w:w="360" w:type="dxa"/>
                  <w:vAlign w:val="center"/>
                </w:tcPr>
                <w:p>
                  <w:pPr>
                    <w:adjustRightInd w:val="0"/>
                    <w:jc w:val="center"/>
                    <w:textAlignment w:val="baseline"/>
                    <w:rPr>
                      <w:b/>
                      <w:bCs/>
                      <w:color w:val="000000"/>
                    </w:rPr>
                  </w:pPr>
                  <w:r>
                    <w:rPr>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exact"/>
                <w:jc w:val="center"/>
              </w:trPr>
              <w:tc>
                <w:tcPr>
                  <w:tcW w:w="727" w:type="dxa"/>
                  <w:vMerge w:val="continue"/>
                  <w:vAlign w:val="center"/>
                </w:tcPr>
                <w:p>
                  <w:pPr>
                    <w:adjustRightInd w:val="0"/>
                    <w:jc w:val="center"/>
                    <w:textAlignment w:val="baseline"/>
                    <w:rPr>
                      <w:szCs w:val="21"/>
                    </w:rPr>
                  </w:pPr>
                </w:p>
              </w:tc>
              <w:tc>
                <w:tcPr>
                  <w:tcW w:w="367" w:type="dxa"/>
                  <w:vMerge w:val="continue"/>
                  <w:vAlign w:val="center"/>
                </w:tcPr>
                <w:p>
                  <w:pPr>
                    <w:adjustRightInd w:val="0"/>
                    <w:jc w:val="center"/>
                    <w:textAlignment w:val="baseline"/>
                    <w:rPr>
                      <w:color w:val="000000"/>
                      <w:szCs w:val="21"/>
                    </w:rPr>
                  </w:pPr>
                </w:p>
              </w:tc>
              <w:tc>
                <w:tcPr>
                  <w:tcW w:w="650" w:type="dxa"/>
                  <w:vAlign w:val="center"/>
                </w:tcPr>
                <w:p>
                  <w:pPr>
                    <w:adjustRightInd w:val="0"/>
                    <w:jc w:val="center"/>
                    <w:textAlignment w:val="baseline"/>
                    <w:rPr>
                      <w:color w:val="000000"/>
                      <w:szCs w:val="21"/>
                    </w:rPr>
                  </w:pPr>
                  <w:r>
                    <w:rPr>
                      <w:color w:val="000000"/>
                      <w:szCs w:val="21"/>
                    </w:rPr>
                    <w:t>排放</w:t>
                  </w:r>
                  <w:r>
                    <w:rPr>
                      <w:rFonts w:hint="eastAsia"/>
                      <w:color w:val="000000"/>
                      <w:szCs w:val="21"/>
                      <w:lang w:eastAsia="zh-CN"/>
                    </w:rPr>
                    <w:t>浓度均值</w:t>
                  </w:r>
                  <w:r>
                    <w:rPr>
                      <w:color w:val="000000"/>
                      <w:szCs w:val="21"/>
                    </w:rPr>
                    <w:t>（</w:t>
                  </w:r>
                  <w:r>
                    <w:rPr>
                      <w:rFonts w:hint="eastAsia"/>
                      <w:color w:val="000000"/>
                      <w:szCs w:val="21"/>
                      <w:lang w:val="en-US" w:eastAsia="zh-CN"/>
                    </w:rPr>
                    <w:t>mg</w:t>
                  </w:r>
                  <w:r>
                    <w:rPr>
                      <w:color w:val="000000"/>
                      <w:szCs w:val="21"/>
                    </w:rPr>
                    <w:t>/</w:t>
                  </w:r>
                  <w:r>
                    <w:rPr>
                      <w:rFonts w:hint="eastAsia"/>
                      <w:color w:val="000000"/>
                      <w:szCs w:val="21"/>
                      <w:lang w:val="en-US" w:eastAsia="zh-CN"/>
                    </w:rPr>
                    <w:t>m</w:t>
                  </w:r>
                  <w:r>
                    <w:rPr>
                      <w:rFonts w:hint="eastAsia"/>
                      <w:color w:val="000000"/>
                      <w:szCs w:val="21"/>
                      <w:vertAlign w:val="superscript"/>
                      <w:lang w:val="en-US" w:eastAsia="zh-CN"/>
                    </w:rPr>
                    <w:t>3</w:t>
                  </w:r>
                  <w:r>
                    <w:rPr>
                      <w:color w:val="000000"/>
                      <w:szCs w:val="21"/>
                    </w:rPr>
                    <w:t>）</w:t>
                  </w:r>
                </w:p>
              </w:tc>
              <w:tc>
                <w:tcPr>
                  <w:tcW w:w="3400" w:type="dxa"/>
                  <w:gridSpan w:val="5"/>
                  <w:vAlign w:val="center"/>
                </w:tcPr>
                <w:p>
                  <w:pPr>
                    <w:jc w:val="center"/>
                    <w:rPr>
                      <w:rFonts w:hint="eastAsia"/>
                      <w:color w:val="000000"/>
                      <w:szCs w:val="21"/>
                      <w:lang w:val="en-US" w:eastAsia="zh-CN"/>
                    </w:rPr>
                  </w:pPr>
                  <w:r>
                    <w:rPr>
                      <w:rFonts w:hint="eastAsia"/>
                      <w:color w:val="000000"/>
                      <w:szCs w:val="21"/>
                      <w:lang w:val="en-US" w:eastAsia="zh-CN"/>
                    </w:rPr>
                    <w:t xml:space="preserve">1.5 </w:t>
                  </w:r>
                </w:p>
              </w:tc>
              <w:tc>
                <w:tcPr>
                  <w:tcW w:w="3233" w:type="dxa"/>
                  <w:gridSpan w:val="5"/>
                  <w:vAlign w:val="center"/>
                </w:tcPr>
                <w:p>
                  <w:pPr>
                    <w:jc w:val="center"/>
                    <w:rPr>
                      <w:rFonts w:hint="default"/>
                      <w:color w:val="000000"/>
                      <w:szCs w:val="21"/>
                      <w:lang w:val="en-US" w:eastAsia="zh-CN"/>
                    </w:rPr>
                  </w:pPr>
                  <w:r>
                    <w:rPr>
                      <w:rFonts w:hint="eastAsia"/>
                      <w:color w:val="000000"/>
                      <w:szCs w:val="21"/>
                      <w:lang w:val="en-US" w:eastAsia="zh-CN"/>
                    </w:rPr>
                    <w:t>1.5</w:t>
                  </w:r>
                </w:p>
              </w:tc>
              <w:tc>
                <w:tcPr>
                  <w:tcW w:w="334" w:type="dxa"/>
                  <w:vAlign w:val="center"/>
                </w:tcPr>
                <w:p>
                  <w:pPr>
                    <w:adjustRightInd w:val="0"/>
                    <w:jc w:val="center"/>
                    <w:textAlignment w:val="baseline"/>
                    <w:rPr>
                      <w:rFonts w:hint="eastAsia" w:eastAsia="宋体"/>
                      <w:szCs w:val="21"/>
                      <w:lang w:val="en-US" w:eastAsia="zh-CN"/>
                    </w:rPr>
                  </w:pPr>
                  <w:r>
                    <w:rPr>
                      <w:rFonts w:hint="eastAsia"/>
                      <w:szCs w:val="21"/>
                      <w:lang w:val="en-US" w:eastAsia="zh-CN"/>
                    </w:rPr>
                    <w:t>2</w:t>
                  </w:r>
                </w:p>
              </w:tc>
              <w:tc>
                <w:tcPr>
                  <w:tcW w:w="360" w:type="dxa"/>
                  <w:vAlign w:val="center"/>
                </w:tcPr>
                <w:p>
                  <w:pPr>
                    <w:adjustRightInd w:val="0"/>
                    <w:jc w:val="center"/>
                    <w:textAlignment w:val="baseline"/>
                    <w:rPr>
                      <w:b/>
                      <w:bCs/>
                      <w:color w:val="000000"/>
                    </w:rPr>
                  </w:pPr>
                  <w:r>
                    <w:rPr>
                      <w:b/>
                      <w:bCs/>
                      <w:color w:val="000000"/>
                    </w:rPr>
                    <w:t>达标</w:t>
                  </w:r>
                </w:p>
              </w:tc>
            </w:tr>
          </w:tbl>
          <w:p>
            <w:pPr>
              <w:spacing w:line="360" w:lineRule="auto"/>
              <w:ind w:firstLine="480" w:firstLineChars="200"/>
              <w:rPr>
                <w:rFonts w:hint="eastAsia" w:eastAsia="宋体"/>
                <w:color w:val="FF0000"/>
                <w:sz w:val="24"/>
                <w:lang w:eastAsia="zh-CN"/>
              </w:rPr>
            </w:pPr>
            <w:r>
              <w:rPr>
                <w:color w:val="000000"/>
                <w:sz w:val="24"/>
              </w:rPr>
              <w:t>对项目</w:t>
            </w:r>
            <w:r>
              <w:rPr>
                <w:rFonts w:hint="eastAsia"/>
                <w:color w:val="000000"/>
                <w:sz w:val="24"/>
                <w:lang w:eastAsia="zh-CN"/>
              </w:rPr>
              <w:t>食堂油烟</w:t>
            </w:r>
            <w:r>
              <w:rPr>
                <w:sz w:val="24"/>
              </w:rPr>
              <w:t>监测的结果表明，</w:t>
            </w:r>
            <w:r>
              <w:rPr>
                <w:rFonts w:hint="eastAsia"/>
                <w:sz w:val="24"/>
                <w:lang w:eastAsia="zh-CN"/>
              </w:rPr>
              <w:t>食堂油烟的</w:t>
            </w:r>
            <w:r>
              <w:rPr>
                <w:rFonts w:hint="eastAsia"/>
                <w:sz w:val="24"/>
              </w:rPr>
              <w:t>排放浓度</w:t>
            </w:r>
            <w:r>
              <w:rPr>
                <w:rFonts w:hint="eastAsia"/>
                <w:sz w:val="24"/>
                <w:lang w:eastAsia="zh-CN"/>
              </w:rPr>
              <w:t>均值</w:t>
            </w:r>
            <w:r>
              <w:rPr>
                <w:rFonts w:hint="eastAsia"/>
                <w:sz w:val="24"/>
              </w:rPr>
              <w:t>为1</w:t>
            </w:r>
            <w:r>
              <w:rPr>
                <w:rFonts w:hint="eastAsia"/>
                <w:sz w:val="24"/>
                <w:lang w:val="en-US" w:eastAsia="zh-CN"/>
              </w:rPr>
              <w:t>.5</w:t>
            </w:r>
            <w:r>
              <w:rPr>
                <w:szCs w:val="21"/>
              </w:rPr>
              <w:t>mg/m</w:t>
            </w:r>
            <w:r>
              <w:rPr>
                <w:szCs w:val="21"/>
                <w:vertAlign w:val="superscript"/>
              </w:rPr>
              <w:t>3</w:t>
            </w:r>
            <w:r>
              <w:rPr>
                <w:rFonts w:hint="eastAsia"/>
                <w:szCs w:val="21"/>
              </w:rPr>
              <w:t>，</w:t>
            </w:r>
            <w:r>
              <w:rPr>
                <w:rFonts w:hint="eastAsia"/>
                <w:sz w:val="24"/>
              </w:rPr>
              <w:t>均</w:t>
            </w:r>
            <w:r>
              <w:rPr>
                <w:rFonts w:hint="eastAsia"/>
                <w:sz w:val="24"/>
                <w:lang w:eastAsia="zh-CN"/>
              </w:rPr>
              <w:t>满足</w:t>
            </w:r>
            <w:r>
              <w:rPr>
                <w:color w:val="000000"/>
                <w:sz w:val="24"/>
              </w:rPr>
              <w:t>《饮食业油烟排放标准》（GB18483-2001）中</w:t>
            </w:r>
            <w:r>
              <w:rPr>
                <w:rFonts w:hint="eastAsia"/>
                <w:color w:val="000000"/>
                <w:sz w:val="24"/>
              </w:rPr>
              <w:t>的相关</w:t>
            </w:r>
            <w:r>
              <w:rPr>
                <w:color w:val="000000"/>
                <w:sz w:val="24"/>
              </w:rPr>
              <w:t>标准</w:t>
            </w:r>
            <w:r>
              <w:rPr>
                <w:rFonts w:hint="eastAsia"/>
                <w:color w:val="000000"/>
                <w:sz w:val="24"/>
                <w:lang w:eastAsia="zh-CN"/>
              </w:rPr>
              <w:t>。</w:t>
            </w:r>
          </w:p>
          <w:p>
            <w:pPr>
              <w:spacing w:line="360" w:lineRule="auto"/>
              <w:ind w:firstLine="482" w:firstLineChars="200"/>
              <w:rPr>
                <w:sz w:val="24"/>
              </w:rPr>
            </w:pPr>
            <w:r>
              <w:rPr>
                <w:b/>
                <w:bCs/>
                <w:sz w:val="24"/>
              </w:rPr>
              <w:t>7.2.2 无组织废气监测结果</w:t>
            </w:r>
          </w:p>
          <w:p>
            <w:pPr>
              <w:spacing w:line="360" w:lineRule="auto"/>
              <w:ind w:firstLine="480" w:firstLineChars="200"/>
              <w:jc w:val="left"/>
              <w:rPr>
                <w:color w:val="000000"/>
                <w:sz w:val="24"/>
              </w:rPr>
            </w:pPr>
            <w:r>
              <w:rPr>
                <w:color w:val="000000"/>
                <w:sz w:val="24"/>
              </w:rPr>
              <w:t>项目无组织废气监测结果见下表。</w:t>
            </w:r>
          </w:p>
          <w:p>
            <w:pPr>
              <w:pStyle w:val="12"/>
              <w:ind w:firstLine="422"/>
              <w:jc w:val="center"/>
              <w:rPr>
                <w:b/>
                <w:bCs/>
                <w:color w:val="000000"/>
                <w:szCs w:val="21"/>
              </w:rPr>
            </w:pPr>
            <w:r>
              <w:rPr>
                <w:b/>
                <w:bCs/>
                <w:color w:val="000000"/>
                <w:szCs w:val="21"/>
              </w:rPr>
              <w:t>表7-</w:t>
            </w:r>
            <w:r>
              <w:rPr>
                <w:rFonts w:hint="eastAsia"/>
                <w:b/>
                <w:bCs/>
                <w:color w:val="000000"/>
                <w:szCs w:val="21"/>
              </w:rPr>
              <w:t>6</w:t>
            </w:r>
            <w:r>
              <w:rPr>
                <w:b/>
                <w:bCs/>
                <w:color w:val="000000"/>
                <w:szCs w:val="21"/>
              </w:rPr>
              <w:t xml:space="preserve">  无组织废气检测结果</w:t>
            </w:r>
          </w:p>
          <w:p>
            <w:pPr>
              <w:ind w:right="244" w:rightChars="116"/>
              <w:jc w:val="right"/>
            </w:pPr>
            <w:r>
              <w:rPr>
                <w:szCs w:val="21"/>
              </w:rPr>
              <w:t>单位：mg/m</w:t>
            </w:r>
            <w:r>
              <w:rPr>
                <w:szCs w:val="21"/>
                <w:vertAlign w:val="superscript"/>
              </w:rPr>
              <w:t>3</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52"/>
              <w:gridCol w:w="933"/>
              <w:gridCol w:w="1287"/>
              <w:gridCol w:w="1688"/>
              <w:gridCol w:w="1810"/>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673" w:type="dxa"/>
                  <w:vMerge w:val="restart"/>
                  <w:vAlign w:val="center"/>
                </w:tcPr>
                <w:p>
                  <w:pPr>
                    <w:jc w:val="center"/>
                    <w:rPr>
                      <w:b/>
                    </w:rPr>
                  </w:pPr>
                  <w:r>
                    <w:rPr>
                      <w:rFonts w:hint="eastAsia"/>
                      <w:b/>
                    </w:rPr>
                    <w:t>监测因子</w:t>
                  </w:r>
                </w:p>
              </w:tc>
              <w:tc>
                <w:tcPr>
                  <w:tcW w:w="752" w:type="dxa"/>
                  <w:vMerge w:val="restart"/>
                  <w:vAlign w:val="center"/>
                </w:tcPr>
                <w:p>
                  <w:pPr>
                    <w:jc w:val="center"/>
                    <w:rPr>
                      <w:b/>
                    </w:rPr>
                  </w:pPr>
                  <w:r>
                    <w:rPr>
                      <w:rFonts w:hint="eastAsia"/>
                      <w:b/>
                    </w:rPr>
                    <w:t>采样日期</w:t>
                  </w:r>
                </w:p>
              </w:tc>
              <w:tc>
                <w:tcPr>
                  <w:tcW w:w="933" w:type="dxa"/>
                  <w:vMerge w:val="restart"/>
                  <w:vAlign w:val="center"/>
                </w:tcPr>
                <w:p>
                  <w:pPr>
                    <w:jc w:val="center"/>
                    <w:rPr>
                      <w:b/>
                    </w:rPr>
                  </w:pPr>
                  <w:r>
                    <w:rPr>
                      <w:rFonts w:hint="eastAsia"/>
                      <w:b/>
                    </w:rPr>
                    <w:t>频次</w:t>
                  </w:r>
                </w:p>
              </w:tc>
              <w:tc>
                <w:tcPr>
                  <w:tcW w:w="6713" w:type="dxa"/>
                  <w:gridSpan w:val="4"/>
                  <w:vAlign w:val="center"/>
                </w:tcPr>
                <w:p>
                  <w:pPr>
                    <w:jc w:val="center"/>
                    <w:rPr>
                      <w:b/>
                    </w:rPr>
                  </w:pPr>
                  <w:r>
                    <w:rPr>
                      <w:rFonts w:hint="eastAsia"/>
                      <w:b/>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3" w:type="dxa"/>
                  <w:vMerge w:val="continue"/>
                  <w:vAlign w:val="center"/>
                </w:tcPr>
                <w:p>
                  <w:pPr>
                    <w:adjustRightInd w:val="0"/>
                    <w:snapToGrid w:val="0"/>
                    <w:jc w:val="center"/>
                    <w:textAlignment w:val="baseline"/>
                  </w:pPr>
                </w:p>
              </w:tc>
              <w:tc>
                <w:tcPr>
                  <w:tcW w:w="752" w:type="dxa"/>
                  <w:vMerge w:val="continue"/>
                  <w:vAlign w:val="center"/>
                </w:tcPr>
                <w:p>
                  <w:pPr>
                    <w:adjustRightInd w:val="0"/>
                    <w:snapToGrid w:val="0"/>
                    <w:jc w:val="center"/>
                    <w:textAlignment w:val="baseline"/>
                  </w:pPr>
                </w:p>
              </w:tc>
              <w:tc>
                <w:tcPr>
                  <w:tcW w:w="933" w:type="dxa"/>
                  <w:vMerge w:val="continue"/>
                  <w:vAlign w:val="center"/>
                </w:tcPr>
                <w:p>
                  <w:pPr>
                    <w:jc w:val="center"/>
                    <w:rPr>
                      <w:b/>
                    </w:rPr>
                  </w:pPr>
                </w:p>
              </w:tc>
              <w:tc>
                <w:tcPr>
                  <w:tcW w:w="1287" w:type="dxa"/>
                  <w:vAlign w:val="center"/>
                </w:tcPr>
                <w:p>
                  <w:pPr>
                    <w:jc w:val="center"/>
                    <w:rPr>
                      <w:b/>
                    </w:rPr>
                  </w:pPr>
                  <w:r>
                    <w:rPr>
                      <w:rFonts w:hint="eastAsia"/>
                      <w:szCs w:val="21"/>
                    </w:rPr>
                    <w:t>上风向</w:t>
                  </w:r>
                </w:p>
              </w:tc>
              <w:tc>
                <w:tcPr>
                  <w:tcW w:w="1688" w:type="dxa"/>
                  <w:vAlign w:val="center"/>
                </w:tcPr>
                <w:p>
                  <w:pPr>
                    <w:adjustRightInd w:val="0"/>
                    <w:snapToGrid w:val="0"/>
                    <w:jc w:val="center"/>
                    <w:textAlignment w:val="baseline"/>
                    <w:rPr>
                      <w:b/>
                    </w:rPr>
                  </w:pPr>
                  <w:r>
                    <w:rPr>
                      <w:rFonts w:hint="eastAsia"/>
                      <w:szCs w:val="21"/>
                    </w:rPr>
                    <w:t>下风向1#</w:t>
                  </w:r>
                </w:p>
              </w:tc>
              <w:tc>
                <w:tcPr>
                  <w:tcW w:w="1810" w:type="dxa"/>
                  <w:vAlign w:val="center"/>
                </w:tcPr>
                <w:p>
                  <w:pPr>
                    <w:adjustRightInd w:val="0"/>
                    <w:snapToGrid w:val="0"/>
                    <w:jc w:val="center"/>
                    <w:textAlignment w:val="baseline"/>
                    <w:rPr>
                      <w:b/>
                    </w:rPr>
                  </w:pPr>
                  <w:r>
                    <w:rPr>
                      <w:rFonts w:hint="eastAsia"/>
                      <w:szCs w:val="21"/>
                    </w:rPr>
                    <w:t>下风向2#</w:t>
                  </w:r>
                </w:p>
              </w:tc>
              <w:tc>
                <w:tcPr>
                  <w:tcW w:w="1928" w:type="dxa"/>
                  <w:vAlign w:val="center"/>
                </w:tcPr>
                <w:p>
                  <w:pPr>
                    <w:adjustRightInd w:val="0"/>
                    <w:snapToGrid w:val="0"/>
                    <w:jc w:val="center"/>
                    <w:textAlignment w:val="baseline"/>
                    <w:rPr>
                      <w:szCs w:val="21"/>
                    </w:rPr>
                  </w:pPr>
                  <w:r>
                    <w:rPr>
                      <w:rFonts w:hint="eastAsia"/>
                      <w:szCs w:val="21"/>
                    </w:rPr>
                    <w:t>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restart"/>
                  <w:vAlign w:val="center"/>
                </w:tcPr>
                <w:p>
                  <w:pPr>
                    <w:jc w:val="center"/>
                    <w:rPr>
                      <w:b/>
                      <w:bCs/>
                      <w:color w:val="000000"/>
                      <w:szCs w:val="21"/>
                    </w:rPr>
                  </w:pPr>
                  <w:r>
                    <w:rPr>
                      <w:rFonts w:hint="eastAsia"/>
                      <w:b/>
                      <w:bCs/>
                      <w:color w:val="000000"/>
                      <w:szCs w:val="21"/>
                    </w:rPr>
                    <w:t>非甲烷总烃</w:t>
                  </w:r>
                </w:p>
              </w:tc>
              <w:tc>
                <w:tcPr>
                  <w:tcW w:w="752" w:type="dxa"/>
                  <w:vMerge w:val="restart"/>
                  <w:vAlign w:val="center"/>
                </w:tcPr>
                <w:p>
                  <w:pPr>
                    <w:jc w:val="center"/>
                    <w:rPr>
                      <w:rFonts w:hint="eastAsia" w:eastAsia="宋体"/>
                      <w:b/>
                      <w:bCs/>
                      <w:color w:val="000000"/>
                      <w:szCs w:val="21"/>
                      <w:lang w:eastAsia="zh-CN"/>
                    </w:rPr>
                  </w:pPr>
                  <w:r>
                    <w:rPr>
                      <w:rFonts w:hint="eastAsia"/>
                      <w:szCs w:val="21"/>
                    </w:rPr>
                    <w:t>2022.2.</w:t>
                  </w:r>
                  <w:r>
                    <w:rPr>
                      <w:rFonts w:hint="eastAsia"/>
                      <w:szCs w:val="21"/>
                      <w:lang w:val="en-US" w:eastAsia="zh-CN"/>
                    </w:rPr>
                    <w:t>9</w:t>
                  </w:r>
                </w:p>
              </w:tc>
              <w:tc>
                <w:tcPr>
                  <w:tcW w:w="933" w:type="dxa"/>
                  <w:vAlign w:val="center"/>
                </w:tcPr>
                <w:p>
                  <w:pPr>
                    <w:spacing w:line="276" w:lineRule="auto"/>
                    <w:jc w:val="center"/>
                    <w:rPr>
                      <w:b/>
                      <w:bCs/>
                      <w:color w:val="000000"/>
                      <w:szCs w:val="21"/>
                    </w:rPr>
                  </w:pPr>
                  <w:r>
                    <w:rPr>
                      <w:rFonts w:hint="eastAsia" w:ascii="宋体" w:hAnsi="宋体" w:cs="宋体"/>
                      <w:szCs w:val="21"/>
                    </w:rPr>
                    <w:t>Ⅰ</w:t>
                  </w:r>
                </w:p>
              </w:tc>
              <w:tc>
                <w:tcPr>
                  <w:tcW w:w="1287" w:type="dxa"/>
                  <w:vAlign w:val="center"/>
                </w:tcPr>
                <w:p>
                  <w:pPr>
                    <w:jc w:val="center"/>
                    <w:rPr>
                      <w:szCs w:val="21"/>
                    </w:rPr>
                  </w:pPr>
                  <w:r>
                    <w:rPr>
                      <w:rFonts w:hint="eastAsia"/>
                      <w:szCs w:val="21"/>
                    </w:rPr>
                    <w:t>0.88</w:t>
                  </w:r>
                </w:p>
              </w:tc>
              <w:tc>
                <w:tcPr>
                  <w:tcW w:w="1688" w:type="dxa"/>
                  <w:vAlign w:val="center"/>
                </w:tcPr>
                <w:p>
                  <w:pPr>
                    <w:jc w:val="center"/>
                    <w:rPr>
                      <w:szCs w:val="21"/>
                    </w:rPr>
                  </w:pPr>
                  <w:r>
                    <w:rPr>
                      <w:rFonts w:hint="eastAsia"/>
                      <w:szCs w:val="21"/>
                    </w:rPr>
                    <w:t>1.13</w:t>
                  </w:r>
                </w:p>
              </w:tc>
              <w:tc>
                <w:tcPr>
                  <w:tcW w:w="1810" w:type="dxa"/>
                  <w:vAlign w:val="center"/>
                </w:tcPr>
                <w:p>
                  <w:pPr>
                    <w:jc w:val="center"/>
                    <w:rPr>
                      <w:szCs w:val="21"/>
                    </w:rPr>
                  </w:pPr>
                  <w:r>
                    <w:rPr>
                      <w:rFonts w:hint="eastAsia"/>
                      <w:szCs w:val="21"/>
                    </w:rPr>
                    <w:t>1.09</w:t>
                  </w:r>
                </w:p>
              </w:tc>
              <w:tc>
                <w:tcPr>
                  <w:tcW w:w="1928" w:type="dxa"/>
                  <w:vAlign w:val="center"/>
                </w:tcPr>
                <w:p>
                  <w:pPr>
                    <w:jc w:val="center"/>
                    <w:rPr>
                      <w:szCs w:val="21"/>
                    </w:rPr>
                  </w:pPr>
                  <w:r>
                    <w:rPr>
                      <w:rFonts w:hint="eastAsia"/>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vAlign w:val="center"/>
                </w:tcPr>
                <w:p>
                  <w:pPr>
                    <w:jc w:val="center"/>
                    <w:rPr>
                      <w:b/>
                      <w:bCs/>
                      <w:color w:val="000000"/>
                      <w:szCs w:val="21"/>
                    </w:rPr>
                  </w:pPr>
                </w:p>
              </w:tc>
              <w:tc>
                <w:tcPr>
                  <w:tcW w:w="752" w:type="dxa"/>
                  <w:vMerge w:val="continue"/>
                  <w:vAlign w:val="center"/>
                </w:tcPr>
                <w:p>
                  <w:pPr>
                    <w:jc w:val="center"/>
                    <w:rPr>
                      <w:b/>
                      <w:bCs/>
                      <w:color w:val="000000"/>
                      <w:szCs w:val="21"/>
                    </w:rPr>
                  </w:pPr>
                </w:p>
              </w:tc>
              <w:tc>
                <w:tcPr>
                  <w:tcW w:w="933" w:type="dxa"/>
                  <w:vAlign w:val="center"/>
                </w:tcPr>
                <w:p>
                  <w:pPr>
                    <w:spacing w:line="276" w:lineRule="auto"/>
                    <w:jc w:val="center"/>
                    <w:rPr>
                      <w:b/>
                      <w:bCs/>
                      <w:color w:val="000000"/>
                      <w:szCs w:val="21"/>
                    </w:rPr>
                  </w:pPr>
                  <w:r>
                    <w:rPr>
                      <w:rFonts w:hint="eastAsia" w:ascii="宋体" w:hAnsi="宋体" w:cs="宋体"/>
                      <w:szCs w:val="21"/>
                    </w:rPr>
                    <w:t>Ⅱ</w:t>
                  </w:r>
                </w:p>
              </w:tc>
              <w:tc>
                <w:tcPr>
                  <w:tcW w:w="1287" w:type="dxa"/>
                  <w:vAlign w:val="center"/>
                </w:tcPr>
                <w:p>
                  <w:pPr>
                    <w:jc w:val="center"/>
                    <w:rPr>
                      <w:szCs w:val="21"/>
                    </w:rPr>
                  </w:pPr>
                  <w:r>
                    <w:rPr>
                      <w:rFonts w:hint="eastAsia"/>
                      <w:szCs w:val="21"/>
                    </w:rPr>
                    <w:t>0.95</w:t>
                  </w:r>
                </w:p>
              </w:tc>
              <w:tc>
                <w:tcPr>
                  <w:tcW w:w="1688" w:type="dxa"/>
                  <w:vAlign w:val="center"/>
                </w:tcPr>
                <w:p>
                  <w:pPr>
                    <w:jc w:val="center"/>
                    <w:rPr>
                      <w:szCs w:val="21"/>
                    </w:rPr>
                  </w:pPr>
                  <w:r>
                    <w:rPr>
                      <w:rFonts w:hint="eastAsia"/>
                      <w:szCs w:val="21"/>
                    </w:rPr>
                    <w:t>1.08</w:t>
                  </w:r>
                </w:p>
              </w:tc>
              <w:tc>
                <w:tcPr>
                  <w:tcW w:w="1810" w:type="dxa"/>
                  <w:vAlign w:val="center"/>
                </w:tcPr>
                <w:p>
                  <w:pPr>
                    <w:jc w:val="center"/>
                    <w:rPr>
                      <w:szCs w:val="21"/>
                    </w:rPr>
                  </w:pPr>
                  <w:r>
                    <w:rPr>
                      <w:rFonts w:hint="eastAsia"/>
                      <w:szCs w:val="21"/>
                    </w:rPr>
                    <w:t>1.17</w:t>
                  </w:r>
                </w:p>
              </w:tc>
              <w:tc>
                <w:tcPr>
                  <w:tcW w:w="1928" w:type="dxa"/>
                  <w:vAlign w:val="center"/>
                </w:tcPr>
                <w:p>
                  <w:pPr>
                    <w:jc w:val="center"/>
                    <w:rPr>
                      <w:szCs w:val="21"/>
                    </w:rPr>
                  </w:pPr>
                  <w:r>
                    <w:rPr>
                      <w:rFonts w:hint="eastAsia"/>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vAlign w:val="center"/>
                </w:tcPr>
                <w:p>
                  <w:pPr>
                    <w:jc w:val="center"/>
                    <w:rPr>
                      <w:b/>
                      <w:bCs/>
                      <w:color w:val="000000"/>
                      <w:szCs w:val="21"/>
                    </w:rPr>
                  </w:pPr>
                </w:p>
              </w:tc>
              <w:tc>
                <w:tcPr>
                  <w:tcW w:w="752" w:type="dxa"/>
                  <w:vMerge w:val="continue"/>
                  <w:vAlign w:val="center"/>
                </w:tcPr>
                <w:p>
                  <w:pPr>
                    <w:jc w:val="center"/>
                    <w:rPr>
                      <w:b/>
                      <w:bCs/>
                      <w:color w:val="000000"/>
                      <w:szCs w:val="21"/>
                    </w:rPr>
                  </w:pPr>
                </w:p>
              </w:tc>
              <w:tc>
                <w:tcPr>
                  <w:tcW w:w="933" w:type="dxa"/>
                  <w:vAlign w:val="center"/>
                </w:tcPr>
                <w:p>
                  <w:pPr>
                    <w:spacing w:line="276" w:lineRule="auto"/>
                    <w:jc w:val="center"/>
                    <w:rPr>
                      <w:b/>
                      <w:bCs/>
                      <w:color w:val="000000"/>
                      <w:szCs w:val="21"/>
                    </w:rPr>
                  </w:pPr>
                  <w:r>
                    <w:rPr>
                      <w:rFonts w:hint="eastAsia" w:ascii="宋体" w:hAnsi="宋体" w:cs="宋体"/>
                      <w:szCs w:val="21"/>
                    </w:rPr>
                    <w:t>Ⅲ</w:t>
                  </w:r>
                </w:p>
              </w:tc>
              <w:tc>
                <w:tcPr>
                  <w:tcW w:w="1287" w:type="dxa"/>
                  <w:vAlign w:val="center"/>
                </w:tcPr>
                <w:p>
                  <w:pPr>
                    <w:jc w:val="center"/>
                    <w:rPr>
                      <w:szCs w:val="21"/>
                    </w:rPr>
                  </w:pPr>
                  <w:r>
                    <w:rPr>
                      <w:rFonts w:hint="eastAsia"/>
                      <w:szCs w:val="21"/>
                    </w:rPr>
                    <w:t>0.87</w:t>
                  </w:r>
                </w:p>
              </w:tc>
              <w:tc>
                <w:tcPr>
                  <w:tcW w:w="1688" w:type="dxa"/>
                  <w:vAlign w:val="center"/>
                </w:tcPr>
                <w:p>
                  <w:pPr>
                    <w:jc w:val="center"/>
                    <w:rPr>
                      <w:szCs w:val="21"/>
                    </w:rPr>
                  </w:pPr>
                  <w:r>
                    <w:rPr>
                      <w:rFonts w:hint="eastAsia"/>
                      <w:szCs w:val="21"/>
                    </w:rPr>
                    <w:t>1.11</w:t>
                  </w:r>
                </w:p>
              </w:tc>
              <w:tc>
                <w:tcPr>
                  <w:tcW w:w="1810" w:type="dxa"/>
                  <w:vAlign w:val="center"/>
                </w:tcPr>
                <w:p>
                  <w:pPr>
                    <w:jc w:val="center"/>
                    <w:rPr>
                      <w:szCs w:val="21"/>
                    </w:rPr>
                  </w:pPr>
                  <w:r>
                    <w:rPr>
                      <w:rFonts w:hint="eastAsia"/>
                      <w:szCs w:val="21"/>
                    </w:rPr>
                    <w:t>1.21</w:t>
                  </w:r>
                </w:p>
              </w:tc>
              <w:tc>
                <w:tcPr>
                  <w:tcW w:w="1928" w:type="dxa"/>
                  <w:vAlign w:val="center"/>
                </w:tcPr>
                <w:p>
                  <w:pPr>
                    <w:jc w:val="center"/>
                    <w:rPr>
                      <w:szCs w:val="21"/>
                    </w:rPr>
                  </w:pPr>
                  <w:r>
                    <w:rPr>
                      <w:rFonts w:hint="eastAsia"/>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vAlign w:val="center"/>
                </w:tcPr>
                <w:p>
                  <w:pPr>
                    <w:jc w:val="center"/>
                    <w:rPr>
                      <w:b/>
                      <w:bCs/>
                      <w:color w:val="000000"/>
                      <w:szCs w:val="21"/>
                    </w:rPr>
                  </w:pPr>
                </w:p>
              </w:tc>
              <w:tc>
                <w:tcPr>
                  <w:tcW w:w="752" w:type="dxa"/>
                  <w:vMerge w:val="restart"/>
                  <w:vAlign w:val="center"/>
                </w:tcPr>
                <w:p>
                  <w:pPr>
                    <w:jc w:val="center"/>
                    <w:rPr>
                      <w:rFonts w:hint="eastAsia" w:eastAsia="宋体"/>
                      <w:b/>
                      <w:bCs/>
                      <w:color w:val="000000"/>
                      <w:szCs w:val="21"/>
                      <w:lang w:eastAsia="zh-CN"/>
                    </w:rPr>
                  </w:pPr>
                  <w:r>
                    <w:rPr>
                      <w:rFonts w:hint="eastAsia"/>
                      <w:szCs w:val="21"/>
                    </w:rPr>
                    <w:t>2022.2.1</w:t>
                  </w:r>
                  <w:r>
                    <w:rPr>
                      <w:rFonts w:hint="eastAsia"/>
                      <w:szCs w:val="21"/>
                      <w:lang w:val="en-US" w:eastAsia="zh-CN"/>
                    </w:rPr>
                    <w:t>0</w:t>
                  </w:r>
                </w:p>
              </w:tc>
              <w:tc>
                <w:tcPr>
                  <w:tcW w:w="933" w:type="dxa"/>
                  <w:vAlign w:val="center"/>
                </w:tcPr>
                <w:p>
                  <w:pPr>
                    <w:spacing w:line="276" w:lineRule="auto"/>
                    <w:jc w:val="center"/>
                    <w:rPr>
                      <w:b/>
                      <w:bCs/>
                      <w:color w:val="000000"/>
                      <w:szCs w:val="21"/>
                    </w:rPr>
                  </w:pPr>
                  <w:r>
                    <w:rPr>
                      <w:rFonts w:hint="eastAsia" w:ascii="宋体" w:hAnsi="宋体" w:cs="宋体"/>
                      <w:szCs w:val="21"/>
                    </w:rPr>
                    <w:t>Ⅰ</w:t>
                  </w:r>
                </w:p>
              </w:tc>
              <w:tc>
                <w:tcPr>
                  <w:tcW w:w="1287" w:type="dxa"/>
                  <w:vAlign w:val="center"/>
                </w:tcPr>
                <w:p>
                  <w:pPr>
                    <w:jc w:val="center"/>
                    <w:rPr>
                      <w:szCs w:val="21"/>
                    </w:rPr>
                  </w:pPr>
                  <w:r>
                    <w:rPr>
                      <w:rFonts w:hint="eastAsia"/>
                      <w:szCs w:val="21"/>
                    </w:rPr>
                    <w:t>0.94</w:t>
                  </w:r>
                </w:p>
              </w:tc>
              <w:tc>
                <w:tcPr>
                  <w:tcW w:w="1688" w:type="dxa"/>
                  <w:vAlign w:val="center"/>
                </w:tcPr>
                <w:p>
                  <w:pPr>
                    <w:jc w:val="center"/>
                    <w:rPr>
                      <w:szCs w:val="21"/>
                    </w:rPr>
                  </w:pPr>
                  <w:r>
                    <w:rPr>
                      <w:rFonts w:hint="eastAsia"/>
                      <w:szCs w:val="21"/>
                    </w:rPr>
                    <w:t>1.11</w:t>
                  </w:r>
                </w:p>
              </w:tc>
              <w:tc>
                <w:tcPr>
                  <w:tcW w:w="1810" w:type="dxa"/>
                  <w:vAlign w:val="center"/>
                </w:tcPr>
                <w:p>
                  <w:pPr>
                    <w:jc w:val="center"/>
                    <w:rPr>
                      <w:szCs w:val="21"/>
                    </w:rPr>
                  </w:pPr>
                  <w:r>
                    <w:rPr>
                      <w:rFonts w:hint="eastAsia"/>
                      <w:szCs w:val="21"/>
                    </w:rPr>
                    <w:t>1.16</w:t>
                  </w:r>
                </w:p>
              </w:tc>
              <w:tc>
                <w:tcPr>
                  <w:tcW w:w="1928" w:type="dxa"/>
                  <w:vAlign w:val="center"/>
                </w:tcPr>
                <w:p>
                  <w:pPr>
                    <w:jc w:val="center"/>
                    <w:rPr>
                      <w:szCs w:val="21"/>
                    </w:rPr>
                  </w:pPr>
                  <w:r>
                    <w:rPr>
                      <w:rFonts w:hint="eastAsia"/>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vAlign w:val="center"/>
                </w:tcPr>
                <w:p>
                  <w:pPr>
                    <w:jc w:val="center"/>
                    <w:rPr>
                      <w:b/>
                      <w:bCs/>
                      <w:color w:val="000000"/>
                      <w:szCs w:val="21"/>
                    </w:rPr>
                  </w:pPr>
                </w:p>
              </w:tc>
              <w:tc>
                <w:tcPr>
                  <w:tcW w:w="752" w:type="dxa"/>
                  <w:vMerge w:val="continue"/>
                  <w:vAlign w:val="center"/>
                </w:tcPr>
                <w:p>
                  <w:pPr>
                    <w:jc w:val="center"/>
                    <w:rPr>
                      <w:b/>
                      <w:bCs/>
                      <w:color w:val="000000"/>
                      <w:szCs w:val="21"/>
                    </w:rPr>
                  </w:pPr>
                </w:p>
              </w:tc>
              <w:tc>
                <w:tcPr>
                  <w:tcW w:w="933" w:type="dxa"/>
                  <w:vAlign w:val="center"/>
                </w:tcPr>
                <w:p>
                  <w:pPr>
                    <w:spacing w:line="276" w:lineRule="auto"/>
                    <w:jc w:val="center"/>
                    <w:rPr>
                      <w:b/>
                      <w:bCs/>
                      <w:color w:val="000000"/>
                      <w:szCs w:val="21"/>
                    </w:rPr>
                  </w:pPr>
                  <w:r>
                    <w:rPr>
                      <w:rFonts w:hint="eastAsia" w:ascii="宋体" w:hAnsi="宋体" w:cs="宋体"/>
                      <w:szCs w:val="21"/>
                    </w:rPr>
                    <w:t>Ⅱ</w:t>
                  </w:r>
                </w:p>
              </w:tc>
              <w:tc>
                <w:tcPr>
                  <w:tcW w:w="1287" w:type="dxa"/>
                  <w:vAlign w:val="center"/>
                </w:tcPr>
                <w:p>
                  <w:pPr>
                    <w:jc w:val="center"/>
                    <w:rPr>
                      <w:szCs w:val="21"/>
                    </w:rPr>
                  </w:pPr>
                  <w:r>
                    <w:rPr>
                      <w:rFonts w:hint="eastAsia"/>
                      <w:szCs w:val="21"/>
                    </w:rPr>
                    <w:t>0.86</w:t>
                  </w:r>
                </w:p>
              </w:tc>
              <w:tc>
                <w:tcPr>
                  <w:tcW w:w="1688" w:type="dxa"/>
                  <w:vAlign w:val="center"/>
                </w:tcPr>
                <w:p>
                  <w:pPr>
                    <w:jc w:val="center"/>
                    <w:rPr>
                      <w:szCs w:val="21"/>
                    </w:rPr>
                  </w:pPr>
                  <w:r>
                    <w:rPr>
                      <w:rFonts w:hint="eastAsia"/>
                      <w:szCs w:val="21"/>
                    </w:rPr>
                    <w:t>1.07</w:t>
                  </w:r>
                </w:p>
              </w:tc>
              <w:tc>
                <w:tcPr>
                  <w:tcW w:w="1810" w:type="dxa"/>
                  <w:vAlign w:val="center"/>
                </w:tcPr>
                <w:p>
                  <w:pPr>
                    <w:jc w:val="center"/>
                    <w:rPr>
                      <w:szCs w:val="21"/>
                    </w:rPr>
                  </w:pPr>
                  <w:r>
                    <w:rPr>
                      <w:rFonts w:hint="eastAsia"/>
                      <w:szCs w:val="21"/>
                    </w:rPr>
                    <w:t>1.15</w:t>
                  </w:r>
                </w:p>
              </w:tc>
              <w:tc>
                <w:tcPr>
                  <w:tcW w:w="1928" w:type="dxa"/>
                  <w:vAlign w:val="center"/>
                </w:tcPr>
                <w:p>
                  <w:pPr>
                    <w:jc w:val="center"/>
                    <w:rPr>
                      <w:szCs w:val="21"/>
                    </w:rPr>
                  </w:pPr>
                  <w:r>
                    <w:rPr>
                      <w:rFonts w:hint="eastAsia"/>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vAlign w:val="center"/>
                </w:tcPr>
                <w:p>
                  <w:pPr>
                    <w:jc w:val="center"/>
                    <w:rPr>
                      <w:b/>
                      <w:bCs/>
                      <w:color w:val="000000"/>
                      <w:szCs w:val="21"/>
                    </w:rPr>
                  </w:pPr>
                </w:p>
              </w:tc>
              <w:tc>
                <w:tcPr>
                  <w:tcW w:w="752" w:type="dxa"/>
                  <w:vMerge w:val="continue"/>
                  <w:vAlign w:val="center"/>
                </w:tcPr>
                <w:p>
                  <w:pPr>
                    <w:jc w:val="center"/>
                    <w:rPr>
                      <w:b/>
                      <w:bCs/>
                      <w:color w:val="000000"/>
                      <w:szCs w:val="21"/>
                    </w:rPr>
                  </w:pPr>
                </w:p>
              </w:tc>
              <w:tc>
                <w:tcPr>
                  <w:tcW w:w="933" w:type="dxa"/>
                  <w:vAlign w:val="center"/>
                </w:tcPr>
                <w:p>
                  <w:pPr>
                    <w:spacing w:line="276" w:lineRule="auto"/>
                    <w:jc w:val="center"/>
                    <w:rPr>
                      <w:b/>
                      <w:bCs/>
                      <w:color w:val="000000"/>
                      <w:szCs w:val="21"/>
                    </w:rPr>
                  </w:pPr>
                  <w:r>
                    <w:rPr>
                      <w:rFonts w:hint="eastAsia" w:ascii="宋体" w:hAnsi="宋体" w:cs="宋体"/>
                      <w:szCs w:val="21"/>
                    </w:rPr>
                    <w:t>Ⅲ</w:t>
                  </w:r>
                </w:p>
              </w:tc>
              <w:tc>
                <w:tcPr>
                  <w:tcW w:w="1287" w:type="dxa"/>
                  <w:vAlign w:val="center"/>
                </w:tcPr>
                <w:p>
                  <w:pPr>
                    <w:jc w:val="center"/>
                    <w:rPr>
                      <w:szCs w:val="21"/>
                    </w:rPr>
                  </w:pPr>
                  <w:r>
                    <w:rPr>
                      <w:rFonts w:hint="eastAsia"/>
                      <w:szCs w:val="21"/>
                    </w:rPr>
                    <w:t>0.87</w:t>
                  </w:r>
                </w:p>
              </w:tc>
              <w:tc>
                <w:tcPr>
                  <w:tcW w:w="1688" w:type="dxa"/>
                  <w:vAlign w:val="center"/>
                </w:tcPr>
                <w:p>
                  <w:pPr>
                    <w:jc w:val="center"/>
                    <w:rPr>
                      <w:szCs w:val="21"/>
                    </w:rPr>
                  </w:pPr>
                  <w:r>
                    <w:rPr>
                      <w:rFonts w:hint="eastAsia"/>
                      <w:szCs w:val="21"/>
                    </w:rPr>
                    <w:t>1.13</w:t>
                  </w:r>
                </w:p>
              </w:tc>
              <w:tc>
                <w:tcPr>
                  <w:tcW w:w="1810" w:type="dxa"/>
                  <w:vAlign w:val="center"/>
                </w:tcPr>
                <w:p>
                  <w:pPr>
                    <w:jc w:val="center"/>
                    <w:rPr>
                      <w:szCs w:val="21"/>
                    </w:rPr>
                  </w:pPr>
                  <w:r>
                    <w:rPr>
                      <w:rFonts w:hint="eastAsia"/>
                      <w:szCs w:val="21"/>
                    </w:rPr>
                    <w:t>1.12</w:t>
                  </w:r>
                </w:p>
              </w:tc>
              <w:tc>
                <w:tcPr>
                  <w:tcW w:w="1928" w:type="dxa"/>
                  <w:vAlign w:val="center"/>
                </w:tcPr>
                <w:p>
                  <w:pPr>
                    <w:jc w:val="center"/>
                    <w:rPr>
                      <w:szCs w:val="21"/>
                    </w:rPr>
                  </w:pPr>
                  <w:r>
                    <w:rPr>
                      <w:rFonts w:hint="eastAsia"/>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b/>
                      <w:bCs/>
                      <w:color w:val="000000"/>
                      <w:szCs w:val="21"/>
                    </w:rPr>
                  </w:pPr>
                  <w:r>
                    <w:rPr>
                      <w:b/>
                      <w:bCs/>
                      <w:color w:val="000000"/>
                      <w:szCs w:val="21"/>
                    </w:rPr>
                    <w:t>最大浓度值</w:t>
                  </w:r>
                </w:p>
              </w:tc>
              <w:tc>
                <w:tcPr>
                  <w:tcW w:w="6713" w:type="dxa"/>
                  <w:gridSpan w:val="4"/>
                  <w:vAlign w:val="center"/>
                </w:tcPr>
                <w:p>
                  <w:pPr>
                    <w:jc w:val="center"/>
                    <w:rPr>
                      <w:b/>
                      <w:bCs/>
                      <w:color w:val="000000"/>
                      <w:szCs w:val="21"/>
                    </w:rPr>
                  </w:pPr>
                  <w:r>
                    <w:rPr>
                      <w:rFonts w:hint="eastAsia"/>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b/>
                      <w:bCs/>
                      <w:color w:val="000000"/>
                      <w:szCs w:val="21"/>
                    </w:rPr>
                  </w:pPr>
                  <w:r>
                    <w:rPr>
                      <w:b/>
                      <w:bCs/>
                      <w:color w:val="000000"/>
                      <w:szCs w:val="21"/>
                    </w:rPr>
                    <w:t>标准限值</w:t>
                  </w:r>
                </w:p>
              </w:tc>
              <w:tc>
                <w:tcPr>
                  <w:tcW w:w="6713" w:type="dxa"/>
                  <w:gridSpan w:val="4"/>
                  <w:vAlign w:val="center"/>
                </w:tcPr>
                <w:p>
                  <w:pPr>
                    <w:jc w:val="center"/>
                    <w:rPr>
                      <w:b/>
                      <w:bCs/>
                      <w:color w:val="000000"/>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b/>
                      <w:bCs/>
                      <w:color w:val="000000"/>
                      <w:szCs w:val="21"/>
                    </w:rPr>
                  </w:pPr>
                  <w:r>
                    <w:rPr>
                      <w:b/>
                      <w:bCs/>
                      <w:color w:val="000000"/>
                      <w:szCs w:val="21"/>
                    </w:rPr>
                    <w:t>达标情况</w:t>
                  </w:r>
                </w:p>
              </w:tc>
              <w:tc>
                <w:tcPr>
                  <w:tcW w:w="6713" w:type="dxa"/>
                  <w:gridSpan w:val="4"/>
                  <w:vAlign w:val="center"/>
                </w:tcPr>
                <w:p>
                  <w:pPr>
                    <w:jc w:val="center"/>
                    <w:rPr>
                      <w:b/>
                      <w:bCs/>
                      <w:color w:val="000000"/>
                      <w:szCs w:val="21"/>
                    </w:rPr>
                  </w:pPr>
                  <w:r>
                    <w:rPr>
                      <w:b/>
                      <w:bCs/>
                      <w:color w:val="000000"/>
                      <w:szCs w:val="21"/>
                    </w:rPr>
                    <w:t>达标</w:t>
                  </w:r>
                </w:p>
              </w:tc>
            </w:tr>
          </w:tbl>
          <w:p>
            <w:pPr>
              <w:spacing w:line="360" w:lineRule="auto"/>
              <w:ind w:firstLine="480" w:firstLineChars="200"/>
              <w:rPr>
                <w:sz w:val="24"/>
              </w:rPr>
            </w:pPr>
            <w:r>
              <w:rPr>
                <w:color w:val="000000"/>
                <w:sz w:val="24"/>
              </w:rPr>
              <w:t>对项目厂界废气</w:t>
            </w:r>
            <w:r>
              <w:rPr>
                <w:rFonts w:hint="eastAsia"/>
                <w:color w:val="000000"/>
                <w:sz w:val="24"/>
              </w:rPr>
              <w:t>非甲烷总烃</w:t>
            </w:r>
            <w:r>
              <w:rPr>
                <w:color w:val="000000"/>
                <w:sz w:val="24"/>
              </w:rPr>
              <w:t>无组</w:t>
            </w:r>
            <w:r>
              <w:rPr>
                <w:sz w:val="24"/>
              </w:rPr>
              <w:t>织排放监测的结果表明，</w:t>
            </w:r>
            <w:r>
              <w:rPr>
                <w:rFonts w:hint="eastAsia"/>
                <w:sz w:val="24"/>
              </w:rPr>
              <w:t>非甲烷总烃</w:t>
            </w:r>
            <w:r>
              <w:rPr>
                <w:sz w:val="24"/>
              </w:rPr>
              <w:t>无组织</w:t>
            </w:r>
            <w:r>
              <w:rPr>
                <w:rFonts w:hint="eastAsia"/>
                <w:sz w:val="24"/>
              </w:rPr>
              <w:t>最大排放浓度为1.21</w:t>
            </w:r>
            <w:r>
              <w:rPr>
                <w:szCs w:val="21"/>
              </w:rPr>
              <w:t>mg/m</w:t>
            </w:r>
            <w:r>
              <w:rPr>
                <w:szCs w:val="21"/>
                <w:vertAlign w:val="superscript"/>
              </w:rPr>
              <w:t>3</w:t>
            </w:r>
            <w:r>
              <w:rPr>
                <w:rFonts w:hint="eastAsia"/>
                <w:szCs w:val="21"/>
              </w:rPr>
              <w:t>，</w:t>
            </w:r>
            <w:r>
              <w:rPr>
                <w:rFonts w:hint="eastAsia"/>
                <w:sz w:val="24"/>
              </w:rPr>
              <w:t>均</w:t>
            </w:r>
            <w:r>
              <w:rPr>
                <w:sz w:val="24"/>
              </w:rPr>
              <w:t>满《工业企业挥发性有机物排放控制标准（天津市地方标准）》（DB12/524-20</w:t>
            </w:r>
            <w:r>
              <w:rPr>
                <w:rFonts w:hint="eastAsia"/>
                <w:sz w:val="24"/>
              </w:rPr>
              <w:t>20</w:t>
            </w:r>
            <w:r>
              <w:rPr>
                <w:sz w:val="24"/>
              </w:rPr>
              <w:t>）表</w:t>
            </w:r>
            <w:r>
              <w:rPr>
                <w:rFonts w:hint="eastAsia"/>
                <w:sz w:val="24"/>
              </w:rPr>
              <w:t>2挥发性有机物无组织</w:t>
            </w:r>
            <w:r>
              <w:rPr>
                <w:sz w:val="24"/>
              </w:rPr>
              <w:t>排放限值</w:t>
            </w:r>
            <w:r>
              <w:rPr>
                <w:rFonts w:hint="eastAsia"/>
                <w:sz w:val="24"/>
              </w:rPr>
              <w:t>。</w:t>
            </w:r>
          </w:p>
          <w:p>
            <w:pPr>
              <w:pStyle w:val="12"/>
              <w:ind w:firstLine="422"/>
              <w:jc w:val="center"/>
              <w:rPr>
                <w:b/>
                <w:bCs/>
                <w:color w:val="000000"/>
                <w:szCs w:val="21"/>
              </w:rPr>
            </w:pPr>
            <w:r>
              <w:rPr>
                <w:b/>
                <w:bCs/>
                <w:color w:val="000000"/>
                <w:szCs w:val="21"/>
              </w:rPr>
              <w:t>表7-</w:t>
            </w:r>
            <w:r>
              <w:rPr>
                <w:rFonts w:hint="eastAsia"/>
                <w:b/>
                <w:bCs/>
                <w:color w:val="000000"/>
                <w:szCs w:val="21"/>
              </w:rPr>
              <w:t>7</w:t>
            </w:r>
            <w:r>
              <w:rPr>
                <w:b/>
                <w:bCs/>
                <w:color w:val="000000"/>
                <w:szCs w:val="21"/>
              </w:rPr>
              <w:t xml:space="preserve">  无组织废气检测结果</w:t>
            </w:r>
          </w:p>
          <w:p>
            <w:pPr>
              <w:ind w:right="244" w:rightChars="116"/>
              <w:jc w:val="right"/>
            </w:pPr>
            <w:r>
              <w:rPr>
                <w:szCs w:val="21"/>
              </w:rPr>
              <w:t>单位：mg/m</w:t>
            </w:r>
            <w:r>
              <w:rPr>
                <w:szCs w:val="21"/>
                <w:vertAlign w:val="superscript"/>
              </w:rPr>
              <w:t>3</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52"/>
              <w:gridCol w:w="933"/>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673" w:type="dxa"/>
                  <w:vMerge w:val="restart"/>
                  <w:vAlign w:val="center"/>
                </w:tcPr>
                <w:p>
                  <w:pPr>
                    <w:jc w:val="center"/>
                    <w:rPr>
                      <w:b/>
                    </w:rPr>
                  </w:pPr>
                  <w:r>
                    <w:rPr>
                      <w:rFonts w:hint="eastAsia"/>
                      <w:b/>
                    </w:rPr>
                    <w:t>监测因子</w:t>
                  </w:r>
                </w:p>
              </w:tc>
              <w:tc>
                <w:tcPr>
                  <w:tcW w:w="752" w:type="dxa"/>
                  <w:vMerge w:val="restart"/>
                  <w:vAlign w:val="center"/>
                </w:tcPr>
                <w:p>
                  <w:pPr>
                    <w:jc w:val="center"/>
                    <w:rPr>
                      <w:b/>
                    </w:rPr>
                  </w:pPr>
                  <w:r>
                    <w:rPr>
                      <w:rFonts w:hint="eastAsia"/>
                      <w:b/>
                    </w:rPr>
                    <w:t>采样日期</w:t>
                  </w:r>
                </w:p>
              </w:tc>
              <w:tc>
                <w:tcPr>
                  <w:tcW w:w="933" w:type="dxa"/>
                  <w:vMerge w:val="restart"/>
                  <w:vAlign w:val="center"/>
                </w:tcPr>
                <w:p>
                  <w:pPr>
                    <w:jc w:val="center"/>
                    <w:rPr>
                      <w:b/>
                    </w:rPr>
                  </w:pPr>
                  <w:r>
                    <w:rPr>
                      <w:rFonts w:hint="eastAsia"/>
                      <w:b/>
                    </w:rPr>
                    <w:t>频次</w:t>
                  </w:r>
                </w:p>
              </w:tc>
              <w:tc>
                <w:tcPr>
                  <w:tcW w:w="6713" w:type="dxa"/>
                  <w:vAlign w:val="center"/>
                </w:tcPr>
                <w:p>
                  <w:pPr>
                    <w:jc w:val="center"/>
                    <w:rPr>
                      <w:b/>
                    </w:rPr>
                  </w:pPr>
                  <w:r>
                    <w:rPr>
                      <w:rFonts w:hint="eastAsia"/>
                      <w:b/>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3" w:type="dxa"/>
                  <w:vMerge w:val="continue"/>
                  <w:vAlign w:val="center"/>
                </w:tcPr>
                <w:p>
                  <w:pPr>
                    <w:adjustRightInd w:val="0"/>
                    <w:snapToGrid w:val="0"/>
                    <w:jc w:val="center"/>
                    <w:textAlignment w:val="baseline"/>
                  </w:pPr>
                </w:p>
              </w:tc>
              <w:tc>
                <w:tcPr>
                  <w:tcW w:w="752" w:type="dxa"/>
                  <w:vMerge w:val="continue"/>
                  <w:vAlign w:val="center"/>
                </w:tcPr>
                <w:p>
                  <w:pPr>
                    <w:adjustRightInd w:val="0"/>
                    <w:snapToGrid w:val="0"/>
                    <w:jc w:val="center"/>
                    <w:textAlignment w:val="baseline"/>
                  </w:pPr>
                </w:p>
              </w:tc>
              <w:tc>
                <w:tcPr>
                  <w:tcW w:w="933" w:type="dxa"/>
                  <w:vMerge w:val="continue"/>
                  <w:vAlign w:val="center"/>
                </w:tcPr>
                <w:p>
                  <w:pPr>
                    <w:jc w:val="center"/>
                    <w:rPr>
                      <w:b/>
                    </w:rPr>
                  </w:pPr>
                </w:p>
              </w:tc>
              <w:tc>
                <w:tcPr>
                  <w:tcW w:w="6713" w:type="dxa"/>
                  <w:vAlign w:val="center"/>
                </w:tcPr>
                <w:p>
                  <w:pPr>
                    <w:adjustRightInd w:val="0"/>
                    <w:snapToGrid w:val="0"/>
                    <w:jc w:val="center"/>
                    <w:textAlignment w:val="baseline"/>
                    <w:rPr>
                      <w:szCs w:val="21"/>
                    </w:rPr>
                  </w:pPr>
                  <w:r>
                    <w:rPr>
                      <w:rFonts w:hint="eastAsia" w:asciiTheme="minorEastAsia" w:hAnsiTheme="minorEastAsia" w:eastAsiaTheme="minorEastAsia" w:cstheme="minorEastAsia"/>
                      <w:szCs w:val="21"/>
                    </w:rPr>
                    <w:t>车间门口外1m处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73" w:type="dxa"/>
                  <w:vMerge w:val="restart"/>
                  <w:vAlign w:val="center"/>
                </w:tcPr>
                <w:p>
                  <w:pPr>
                    <w:jc w:val="center"/>
                    <w:rPr>
                      <w:szCs w:val="21"/>
                    </w:rPr>
                  </w:pPr>
                  <w:r>
                    <w:rPr>
                      <w:rFonts w:hint="eastAsia"/>
                      <w:szCs w:val="21"/>
                    </w:rPr>
                    <w:t>非甲烷总烃</w:t>
                  </w:r>
                </w:p>
              </w:tc>
              <w:tc>
                <w:tcPr>
                  <w:tcW w:w="752" w:type="dxa"/>
                  <w:vMerge w:val="restart"/>
                  <w:vAlign w:val="center"/>
                </w:tcPr>
                <w:p>
                  <w:pPr>
                    <w:jc w:val="center"/>
                    <w:rPr>
                      <w:rFonts w:hint="eastAsia" w:eastAsia="宋体"/>
                      <w:szCs w:val="21"/>
                      <w:lang w:eastAsia="zh-CN"/>
                    </w:rPr>
                  </w:pPr>
                  <w:r>
                    <w:rPr>
                      <w:rFonts w:hint="eastAsia"/>
                      <w:szCs w:val="21"/>
                    </w:rPr>
                    <w:t>2022.2.</w:t>
                  </w:r>
                  <w:r>
                    <w:rPr>
                      <w:rFonts w:hint="eastAsia"/>
                      <w:szCs w:val="21"/>
                      <w:lang w:val="en-US" w:eastAsia="zh-CN"/>
                    </w:rPr>
                    <w:t>9</w:t>
                  </w:r>
                </w:p>
              </w:tc>
              <w:tc>
                <w:tcPr>
                  <w:tcW w:w="933" w:type="dxa"/>
                  <w:vAlign w:val="center"/>
                </w:tcPr>
                <w:p>
                  <w:pPr>
                    <w:spacing w:line="276" w:lineRule="auto"/>
                    <w:jc w:val="center"/>
                    <w:rPr>
                      <w:rFonts w:ascii="宋体" w:hAnsi="宋体" w:cs="宋体"/>
                      <w:szCs w:val="21"/>
                    </w:rPr>
                  </w:pPr>
                  <w:r>
                    <w:rPr>
                      <w:rFonts w:hint="eastAsia" w:ascii="宋体" w:hAnsi="宋体" w:cs="宋体"/>
                      <w:szCs w:val="21"/>
                    </w:rPr>
                    <w:t>Ⅰ</w:t>
                  </w:r>
                </w:p>
              </w:tc>
              <w:tc>
                <w:tcPr>
                  <w:tcW w:w="6713" w:type="dxa"/>
                  <w:vAlign w:val="center"/>
                </w:tcPr>
                <w:p>
                  <w:pPr>
                    <w:jc w:val="center"/>
                    <w:rPr>
                      <w:szCs w:val="21"/>
                    </w:rPr>
                  </w:pPr>
                  <w:r>
                    <w:rPr>
                      <w:rFonts w:hint="eastAsia"/>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73" w:type="dxa"/>
                  <w:vMerge w:val="continue"/>
                  <w:vAlign w:val="center"/>
                </w:tcPr>
                <w:p>
                  <w:pPr>
                    <w:jc w:val="center"/>
                    <w:rPr>
                      <w:szCs w:val="21"/>
                    </w:rPr>
                  </w:pPr>
                </w:p>
              </w:tc>
              <w:tc>
                <w:tcPr>
                  <w:tcW w:w="752" w:type="dxa"/>
                  <w:vMerge w:val="continue"/>
                  <w:vAlign w:val="center"/>
                </w:tcPr>
                <w:p>
                  <w:pPr>
                    <w:jc w:val="center"/>
                    <w:rPr>
                      <w:szCs w:val="21"/>
                    </w:rPr>
                  </w:pPr>
                </w:p>
              </w:tc>
              <w:tc>
                <w:tcPr>
                  <w:tcW w:w="933" w:type="dxa"/>
                  <w:vAlign w:val="center"/>
                </w:tcPr>
                <w:p>
                  <w:pPr>
                    <w:spacing w:line="276" w:lineRule="auto"/>
                    <w:jc w:val="center"/>
                    <w:rPr>
                      <w:rFonts w:ascii="宋体" w:hAnsi="宋体" w:cs="宋体"/>
                      <w:szCs w:val="21"/>
                    </w:rPr>
                  </w:pPr>
                  <w:r>
                    <w:rPr>
                      <w:rFonts w:hint="eastAsia" w:ascii="宋体" w:hAnsi="宋体" w:cs="宋体"/>
                      <w:szCs w:val="21"/>
                    </w:rPr>
                    <w:t>Ⅱ</w:t>
                  </w:r>
                </w:p>
              </w:tc>
              <w:tc>
                <w:tcPr>
                  <w:tcW w:w="6713" w:type="dxa"/>
                  <w:vAlign w:val="center"/>
                </w:tcPr>
                <w:p>
                  <w:pPr>
                    <w:jc w:val="center"/>
                    <w:rPr>
                      <w:szCs w:val="21"/>
                    </w:rPr>
                  </w:pPr>
                  <w:r>
                    <w:rPr>
                      <w:rFonts w:hint="eastAsia"/>
                      <w:szCs w:val="21"/>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vAlign w:val="center"/>
                </w:tcPr>
                <w:p>
                  <w:pPr>
                    <w:jc w:val="center"/>
                    <w:rPr>
                      <w:szCs w:val="21"/>
                    </w:rPr>
                  </w:pPr>
                </w:p>
              </w:tc>
              <w:tc>
                <w:tcPr>
                  <w:tcW w:w="752" w:type="dxa"/>
                  <w:vMerge w:val="continue"/>
                  <w:vAlign w:val="center"/>
                </w:tcPr>
                <w:p>
                  <w:pPr>
                    <w:jc w:val="center"/>
                    <w:rPr>
                      <w:szCs w:val="21"/>
                    </w:rPr>
                  </w:pPr>
                </w:p>
              </w:tc>
              <w:tc>
                <w:tcPr>
                  <w:tcW w:w="933" w:type="dxa"/>
                  <w:vAlign w:val="center"/>
                </w:tcPr>
                <w:p>
                  <w:pPr>
                    <w:spacing w:line="276" w:lineRule="auto"/>
                    <w:jc w:val="center"/>
                    <w:rPr>
                      <w:rFonts w:ascii="宋体" w:hAnsi="宋体" w:cs="宋体"/>
                      <w:szCs w:val="21"/>
                    </w:rPr>
                  </w:pPr>
                  <w:r>
                    <w:rPr>
                      <w:rFonts w:hint="eastAsia" w:ascii="宋体" w:hAnsi="宋体" w:cs="宋体"/>
                      <w:szCs w:val="21"/>
                    </w:rPr>
                    <w:t>Ⅲ</w:t>
                  </w:r>
                </w:p>
              </w:tc>
              <w:tc>
                <w:tcPr>
                  <w:tcW w:w="6713" w:type="dxa"/>
                  <w:vAlign w:val="center"/>
                </w:tcPr>
                <w:p>
                  <w:pPr>
                    <w:jc w:val="center"/>
                    <w:rPr>
                      <w:szCs w:val="21"/>
                    </w:rPr>
                  </w:pPr>
                  <w:r>
                    <w:rPr>
                      <w:rFonts w:hint="eastAsia"/>
                      <w:szCs w:val="21"/>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vAlign w:val="center"/>
                </w:tcPr>
                <w:p>
                  <w:pPr>
                    <w:jc w:val="center"/>
                    <w:rPr>
                      <w:szCs w:val="21"/>
                    </w:rPr>
                  </w:pPr>
                </w:p>
              </w:tc>
              <w:tc>
                <w:tcPr>
                  <w:tcW w:w="752" w:type="dxa"/>
                  <w:vMerge w:val="restart"/>
                  <w:vAlign w:val="center"/>
                </w:tcPr>
                <w:p>
                  <w:pPr>
                    <w:jc w:val="center"/>
                    <w:rPr>
                      <w:rFonts w:hint="eastAsia" w:eastAsia="宋体"/>
                      <w:szCs w:val="21"/>
                      <w:lang w:eastAsia="zh-CN"/>
                    </w:rPr>
                  </w:pPr>
                  <w:r>
                    <w:rPr>
                      <w:rFonts w:hint="eastAsia"/>
                      <w:szCs w:val="21"/>
                    </w:rPr>
                    <w:t>2022.2.1</w:t>
                  </w:r>
                  <w:r>
                    <w:rPr>
                      <w:rFonts w:hint="eastAsia"/>
                      <w:szCs w:val="21"/>
                      <w:lang w:val="en-US" w:eastAsia="zh-CN"/>
                    </w:rPr>
                    <w:t>0</w:t>
                  </w:r>
                </w:p>
              </w:tc>
              <w:tc>
                <w:tcPr>
                  <w:tcW w:w="933" w:type="dxa"/>
                  <w:vAlign w:val="center"/>
                </w:tcPr>
                <w:p>
                  <w:pPr>
                    <w:spacing w:line="276" w:lineRule="auto"/>
                    <w:jc w:val="center"/>
                    <w:rPr>
                      <w:rFonts w:ascii="宋体" w:hAnsi="宋体" w:cs="宋体"/>
                      <w:szCs w:val="21"/>
                    </w:rPr>
                  </w:pPr>
                  <w:r>
                    <w:rPr>
                      <w:rFonts w:hint="eastAsia" w:ascii="宋体" w:hAnsi="宋体" w:cs="宋体"/>
                      <w:szCs w:val="21"/>
                    </w:rPr>
                    <w:t>Ⅰ</w:t>
                  </w:r>
                </w:p>
              </w:tc>
              <w:tc>
                <w:tcPr>
                  <w:tcW w:w="6713" w:type="dxa"/>
                  <w:vAlign w:val="center"/>
                </w:tcPr>
                <w:p>
                  <w:pPr>
                    <w:jc w:val="center"/>
                    <w:rPr>
                      <w:szCs w:val="21"/>
                    </w:rPr>
                  </w:pPr>
                  <w:r>
                    <w:rPr>
                      <w:rFonts w:hint="eastAsia"/>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vAlign w:val="center"/>
                </w:tcPr>
                <w:p>
                  <w:pPr>
                    <w:jc w:val="center"/>
                    <w:rPr>
                      <w:szCs w:val="21"/>
                    </w:rPr>
                  </w:pPr>
                </w:p>
              </w:tc>
              <w:tc>
                <w:tcPr>
                  <w:tcW w:w="752" w:type="dxa"/>
                  <w:vMerge w:val="continue"/>
                  <w:vAlign w:val="center"/>
                </w:tcPr>
                <w:p>
                  <w:pPr>
                    <w:jc w:val="center"/>
                    <w:rPr>
                      <w:szCs w:val="21"/>
                    </w:rPr>
                  </w:pPr>
                </w:p>
              </w:tc>
              <w:tc>
                <w:tcPr>
                  <w:tcW w:w="933" w:type="dxa"/>
                  <w:vAlign w:val="center"/>
                </w:tcPr>
                <w:p>
                  <w:pPr>
                    <w:spacing w:line="276" w:lineRule="auto"/>
                    <w:jc w:val="center"/>
                    <w:rPr>
                      <w:rFonts w:ascii="宋体" w:hAnsi="宋体" w:cs="宋体"/>
                      <w:szCs w:val="21"/>
                    </w:rPr>
                  </w:pPr>
                  <w:r>
                    <w:rPr>
                      <w:rFonts w:hint="eastAsia" w:ascii="宋体" w:hAnsi="宋体" w:cs="宋体"/>
                      <w:szCs w:val="21"/>
                    </w:rPr>
                    <w:t>Ⅱ</w:t>
                  </w:r>
                </w:p>
              </w:tc>
              <w:tc>
                <w:tcPr>
                  <w:tcW w:w="6713" w:type="dxa"/>
                  <w:vAlign w:val="center"/>
                </w:tcPr>
                <w:p>
                  <w:pPr>
                    <w:jc w:val="center"/>
                    <w:rPr>
                      <w:szCs w:val="21"/>
                    </w:rPr>
                  </w:pPr>
                  <w:r>
                    <w:rPr>
                      <w:rFonts w:hint="eastAsia"/>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vAlign w:val="center"/>
                </w:tcPr>
                <w:p>
                  <w:pPr>
                    <w:jc w:val="center"/>
                    <w:rPr>
                      <w:szCs w:val="21"/>
                    </w:rPr>
                  </w:pPr>
                </w:p>
              </w:tc>
              <w:tc>
                <w:tcPr>
                  <w:tcW w:w="752" w:type="dxa"/>
                  <w:vMerge w:val="continue"/>
                  <w:vAlign w:val="center"/>
                </w:tcPr>
                <w:p>
                  <w:pPr>
                    <w:jc w:val="center"/>
                    <w:rPr>
                      <w:szCs w:val="21"/>
                    </w:rPr>
                  </w:pPr>
                </w:p>
              </w:tc>
              <w:tc>
                <w:tcPr>
                  <w:tcW w:w="933" w:type="dxa"/>
                  <w:vAlign w:val="center"/>
                </w:tcPr>
                <w:p>
                  <w:pPr>
                    <w:spacing w:line="276" w:lineRule="auto"/>
                    <w:jc w:val="center"/>
                    <w:rPr>
                      <w:rFonts w:ascii="宋体" w:hAnsi="宋体" w:cs="宋体"/>
                      <w:szCs w:val="21"/>
                    </w:rPr>
                  </w:pPr>
                  <w:r>
                    <w:rPr>
                      <w:rFonts w:hint="eastAsia" w:ascii="宋体" w:hAnsi="宋体" w:cs="宋体"/>
                      <w:szCs w:val="21"/>
                    </w:rPr>
                    <w:t>Ⅲ</w:t>
                  </w:r>
                </w:p>
              </w:tc>
              <w:tc>
                <w:tcPr>
                  <w:tcW w:w="6713" w:type="dxa"/>
                  <w:vAlign w:val="center"/>
                </w:tcPr>
                <w:p>
                  <w:pPr>
                    <w:jc w:val="center"/>
                    <w:rPr>
                      <w:szCs w:val="21"/>
                    </w:rPr>
                  </w:pPr>
                  <w:r>
                    <w:rPr>
                      <w:rFonts w:hint="eastAsia"/>
                      <w:szCs w:val="21"/>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rFonts w:ascii="宋体" w:hAnsi="宋体" w:cs="宋体"/>
                      <w:szCs w:val="21"/>
                    </w:rPr>
                  </w:pPr>
                  <w:r>
                    <w:rPr>
                      <w:b/>
                      <w:bCs/>
                      <w:color w:val="000000"/>
                      <w:szCs w:val="21"/>
                    </w:rPr>
                    <w:t>最大浓度值</w:t>
                  </w:r>
                </w:p>
              </w:tc>
              <w:tc>
                <w:tcPr>
                  <w:tcW w:w="6713" w:type="dxa"/>
                  <w:vAlign w:val="center"/>
                </w:tcPr>
                <w:p>
                  <w:pPr>
                    <w:jc w:val="center"/>
                    <w:rPr>
                      <w:szCs w:val="21"/>
                    </w:rPr>
                  </w:pPr>
                  <w:r>
                    <w:rPr>
                      <w:rFonts w:hint="eastAsia"/>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rFonts w:ascii="宋体" w:hAnsi="宋体" w:cs="宋体"/>
                      <w:szCs w:val="21"/>
                    </w:rPr>
                  </w:pPr>
                  <w:r>
                    <w:rPr>
                      <w:b/>
                      <w:bCs/>
                      <w:color w:val="000000"/>
                      <w:szCs w:val="21"/>
                    </w:rPr>
                    <w:t>标准限值</w:t>
                  </w:r>
                </w:p>
              </w:tc>
              <w:tc>
                <w:tcPr>
                  <w:tcW w:w="6713" w:type="dxa"/>
                  <w:vAlign w:val="center"/>
                </w:tcPr>
                <w:p>
                  <w:pPr>
                    <w:jc w:val="center"/>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vAlign w:val="center"/>
                </w:tcPr>
                <w:p>
                  <w:pPr>
                    <w:jc w:val="center"/>
                    <w:rPr>
                      <w:rFonts w:ascii="宋体" w:hAnsi="宋体" w:cs="宋体"/>
                      <w:szCs w:val="21"/>
                    </w:rPr>
                  </w:pPr>
                  <w:r>
                    <w:rPr>
                      <w:b/>
                      <w:bCs/>
                      <w:color w:val="000000"/>
                      <w:szCs w:val="21"/>
                    </w:rPr>
                    <w:t>达标情况</w:t>
                  </w:r>
                </w:p>
              </w:tc>
              <w:tc>
                <w:tcPr>
                  <w:tcW w:w="6713" w:type="dxa"/>
                  <w:vAlign w:val="center"/>
                </w:tcPr>
                <w:p>
                  <w:pPr>
                    <w:jc w:val="center"/>
                    <w:rPr>
                      <w:b/>
                      <w:bCs/>
                      <w:color w:val="000000"/>
                      <w:szCs w:val="21"/>
                    </w:rPr>
                  </w:pPr>
                  <w:r>
                    <w:rPr>
                      <w:b/>
                      <w:bCs/>
                      <w:color w:val="000000"/>
                      <w:szCs w:val="21"/>
                    </w:rPr>
                    <w:t>达标</w:t>
                  </w:r>
                </w:p>
              </w:tc>
            </w:tr>
          </w:tbl>
          <w:p>
            <w:pPr>
              <w:spacing w:line="360" w:lineRule="auto"/>
              <w:ind w:firstLine="480" w:firstLineChars="200"/>
              <w:rPr>
                <w:color w:val="FF0000"/>
              </w:rPr>
            </w:pPr>
            <w:r>
              <w:rPr>
                <w:color w:val="000000"/>
                <w:sz w:val="24"/>
              </w:rPr>
              <w:t>对项目</w:t>
            </w:r>
            <w:r>
              <w:rPr>
                <w:rFonts w:hint="eastAsia"/>
                <w:sz w:val="24"/>
              </w:rPr>
              <w:t>挥发性有机废气</w:t>
            </w:r>
            <w:r>
              <w:rPr>
                <w:color w:val="000000"/>
                <w:sz w:val="24"/>
              </w:rPr>
              <w:t>无组</w:t>
            </w:r>
            <w:r>
              <w:rPr>
                <w:sz w:val="24"/>
              </w:rPr>
              <w:t>织排放监测的结果表明，</w:t>
            </w:r>
            <w:r>
              <w:rPr>
                <w:rFonts w:hint="eastAsia"/>
                <w:sz w:val="24"/>
              </w:rPr>
              <w:t>非甲烷总烃</w:t>
            </w:r>
            <w:r>
              <w:rPr>
                <w:sz w:val="24"/>
              </w:rPr>
              <w:t>无组织最大排放浓度为</w:t>
            </w:r>
            <w:r>
              <w:rPr>
                <w:rFonts w:hint="eastAsia"/>
                <w:sz w:val="24"/>
              </w:rPr>
              <w:t>3.11</w:t>
            </w:r>
            <w:r>
              <w:rPr>
                <w:sz w:val="24"/>
              </w:rPr>
              <w:t>mg/m</w:t>
            </w:r>
            <w:r>
              <w:rPr>
                <w:sz w:val="24"/>
                <w:vertAlign w:val="superscript"/>
              </w:rPr>
              <w:t>3</w:t>
            </w:r>
            <w:r>
              <w:rPr>
                <w:sz w:val="24"/>
              </w:rPr>
              <w:t>，</w:t>
            </w:r>
            <w:r>
              <w:rPr>
                <w:bCs/>
                <w:sz w:val="24"/>
              </w:rPr>
              <w:t>满足</w:t>
            </w:r>
            <w:r>
              <w:rPr>
                <w:rFonts w:hint="eastAsia"/>
                <w:sz w:val="24"/>
              </w:rPr>
              <w:t>《挥发性有机物无组织排放控制标准》（GB37822-2019）中</w:t>
            </w:r>
            <w:r>
              <w:rPr>
                <w:color w:val="000000"/>
                <w:sz w:val="24"/>
              </w:rPr>
              <w:t>附录A中规定特别排放限值</w:t>
            </w:r>
            <w:r>
              <w:rPr>
                <w:rFonts w:hint="eastAsia"/>
                <w:sz w:val="24"/>
              </w:rPr>
              <w:t>。</w:t>
            </w:r>
          </w:p>
          <w:p>
            <w:pPr>
              <w:pStyle w:val="4"/>
              <w:spacing w:before="0" w:after="0" w:line="360" w:lineRule="auto"/>
              <w:rPr>
                <w:sz w:val="24"/>
                <w:szCs w:val="24"/>
              </w:rPr>
            </w:pPr>
            <w:r>
              <w:rPr>
                <w:sz w:val="24"/>
                <w:szCs w:val="24"/>
              </w:rPr>
              <w:t>7.2.</w:t>
            </w:r>
            <w:r>
              <w:rPr>
                <w:rFonts w:hint="eastAsia"/>
                <w:sz w:val="24"/>
                <w:szCs w:val="24"/>
              </w:rPr>
              <w:t>3</w:t>
            </w:r>
            <w:r>
              <w:rPr>
                <w:sz w:val="24"/>
                <w:szCs w:val="24"/>
              </w:rPr>
              <w:t>噪声监测结果</w:t>
            </w:r>
          </w:p>
          <w:p>
            <w:pPr>
              <w:spacing w:line="360" w:lineRule="auto"/>
              <w:ind w:firstLine="480" w:firstLineChars="200"/>
              <w:rPr>
                <w:sz w:val="24"/>
              </w:rPr>
            </w:pPr>
            <w:r>
              <w:rPr>
                <w:sz w:val="24"/>
              </w:rPr>
              <w:t>噪声监测结果</w:t>
            </w:r>
            <w:r>
              <w:rPr>
                <w:rFonts w:hint="eastAsia"/>
                <w:sz w:val="24"/>
              </w:rPr>
              <w:t>见下表</w:t>
            </w:r>
            <w:r>
              <w:rPr>
                <w:sz w:val="24"/>
              </w:rPr>
              <w:t>。</w:t>
            </w:r>
          </w:p>
          <w:p>
            <w:pPr>
              <w:spacing w:line="360" w:lineRule="auto"/>
              <w:jc w:val="center"/>
              <w:rPr>
                <w:bCs/>
                <w:szCs w:val="21"/>
              </w:rPr>
            </w:pPr>
            <w:r>
              <w:rPr>
                <w:rFonts w:hint="eastAsia"/>
                <w:b/>
                <w:szCs w:val="21"/>
              </w:rPr>
              <w:t xml:space="preserve">表7-8  噪声监测结果        </w:t>
            </w:r>
            <w:r>
              <w:rPr>
                <w:rFonts w:hint="eastAsia"/>
                <w:bCs/>
                <w:szCs w:val="21"/>
              </w:rPr>
              <w:t>单位：dB（A）</w:t>
            </w:r>
          </w:p>
          <w:tbl>
            <w:tblPr>
              <w:tblStyle w:val="23"/>
              <w:tblW w:w="9071"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78"/>
              <w:gridCol w:w="1238"/>
              <w:gridCol w:w="831"/>
              <w:gridCol w:w="831"/>
              <w:gridCol w:w="831"/>
              <w:gridCol w:w="830"/>
              <w:gridCol w:w="831"/>
              <w:gridCol w:w="830"/>
              <w:gridCol w:w="831"/>
              <w:gridCol w:w="84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20" w:hRule="atLeast"/>
                <w:jc w:val="center"/>
              </w:trPr>
              <w:tc>
                <w:tcPr>
                  <w:tcW w:w="1219" w:type="dxa"/>
                  <w:vMerge w:val="restart"/>
                  <w:tcBorders>
                    <w:tl2br w:val="nil"/>
                    <w:tr2bl w:val="nil"/>
                  </w:tcBorders>
                  <w:vAlign w:val="center"/>
                </w:tcPr>
                <w:p>
                  <w:pPr>
                    <w:jc w:val="center"/>
                    <w:rPr>
                      <w:b/>
                      <w:bCs/>
                      <w:szCs w:val="21"/>
                    </w:rPr>
                  </w:pPr>
                  <w:r>
                    <w:rPr>
                      <w:b/>
                      <w:bCs/>
                      <w:szCs w:val="21"/>
                    </w:rPr>
                    <w:t>编码</w:t>
                  </w:r>
                </w:p>
              </w:tc>
              <w:tc>
                <w:tcPr>
                  <w:tcW w:w="1280" w:type="dxa"/>
                  <w:vMerge w:val="restart"/>
                  <w:tcBorders>
                    <w:tl2br w:val="nil"/>
                    <w:tr2bl w:val="nil"/>
                  </w:tcBorders>
                  <w:vAlign w:val="center"/>
                </w:tcPr>
                <w:p>
                  <w:pPr>
                    <w:jc w:val="center"/>
                    <w:rPr>
                      <w:b/>
                      <w:bCs/>
                      <w:szCs w:val="21"/>
                    </w:rPr>
                  </w:pPr>
                  <w:r>
                    <w:rPr>
                      <w:b/>
                      <w:bCs/>
                      <w:szCs w:val="21"/>
                    </w:rPr>
                    <w:t>检测点位</w:t>
                  </w:r>
                </w:p>
              </w:tc>
              <w:tc>
                <w:tcPr>
                  <w:tcW w:w="6855" w:type="dxa"/>
                  <w:gridSpan w:val="8"/>
                  <w:tcBorders>
                    <w:tl2br w:val="nil"/>
                    <w:tr2bl w:val="nil"/>
                  </w:tcBorders>
                  <w:vAlign w:val="center"/>
                </w:tcPr>
                <w:p>
                  <w:pPr>
                    <w:jc w:val="center"/>
                    <w:rPr>
                      <w:b/>
                      <w:bCs/>
                      <w:szCs w:val="21"/>
                    </w:rPr>
                  </w:pPr>
                  <w:r>
                    <w:rPr>
                      <w:b/>
                      <w:bCs/>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szCs w:val="21"/>
                    </w:rPr>
                  </w:pPr>
                </w:p>
              </w:tc>
              <w:tc>
                <w:tcPr>
                  <w:tcW w:w="1280" w:type="dxa"/>
                  <w:vMerge w:val="continue"/>
                  <w:tcBorders>
                    <w:tl2br w:val="nil"/>
                    <w:tr2bl w:val="nil"/>
                  </w:tcBorders>
                  <w:vAlign w:val="center"/>
                </w:tcPr>
                <w:p>
                  <w:pPr>
                    <w:jc w:val="center"/>
                    <w:rPr>
                      <w:b/>
                      <w:bCs/>
                      <w:szCs w:val="21"/>
                    </w:rPr>
                  </w:pPr>
                </w:p>
              </w:tc>
              <w:tc>
                <w:tcPr>
                  <w:tcW w:w="3423" w:type="dxa"/>
                  <w:gridSpan w:val="4"/>
                  <w:tcBorders>
                    <w:tl2br w:val="nil"/>
                    <w:tr2bl w:val="nil"/>
                  </w:tcBorders>
                  <w:vAlign w:val="center"/>
                </w:tcPr>
                <w:p>
                  <w:pPr>
                    <w:jc w:val="center"/>
                    <w:rPr>
                      <w:rFonts w:hint="eastAsia" w:eastAsia="宋体"/>
                      <w:szCs w:val="21"/>
                      <w:lang w:eastAsia="zh-CN"/>
                    </w:rPr>
                  </w:pPr>
                  <w:r>
                    <w:rPr>
                      <w:szCs w:val="21"/>
                    </w:rPr>
                    <w:t>20</w:t>
                  </w:r>
                  <w:r>
                    <w:rPr>
                      <w:rFonts w:hint="eastAsia"/>
                      <w:szCs w:val="21"/>
                    </w:rPr>
                    <w:t>22.2.</w:t>
                  </w:r>
                  <w:r>
                    <w:rPr>
                      <w:rFonts w:hint="eastAsia"/>
                      <w:szCs w:val="21"/>
                      <w:lang w:val="en-US" w:eastAsia="zh-CN"/>
                    </w:rPr>
                    <w:t>9</w:t>
                  </w:r>
                </w:p>
              </w:tc>
              <w:tc>
                <w:tcPr>
                  <w:tcW w:w="3432" w:type="dxa"/>
                  <w:gridSpan w:val="4"/>
                  <w:tcBorders>
                    <w:tl2br w:val="nil"/>
                    <w:tr2bl w:val="nil"/>
                  </w:tcBorders>
                  <w:vAlign w:val="center"/>
                </w:tcPr>
                <w:p>
                  <w:pPr>
                    <w:jc w:val="center"/>
                    <w:rPr>
                      <w:rFonts w:hint="default" w:eastAsia="宋体"/>
                      <w:szCs w:val="21"/>
                      <w:lang w:val="en-US" w:eastAsia="zh-CN"/>
                    </w:rPr>
                  </w:pPr>
                  <w:r>
                    <w:rPr>
                      <w:szCs w:val="21"/>
                    </w:rPr>
                    <w:t>20</w:t>
                  </w:r>
                  <w:r>
                    <w:rPr>
                      <w:rFonts w:hint="eastAsia"/>
                      <w:szCs w:val="21"/>
                    </w:rPr>
                    <w:t>22.2.</w:t>
                  </w:r>
                  <w:r>
                    <w:rPr>
                      <w:rFonts w:hint="eastAsia"/>
                      <w:szCs w:val="21"/>
                      <w:lang w:val="en-US" w:eastAsia="zh-CN"/>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szCs w:val="21"/>
                    </w:rPr>
                  </w:pPr>
                </w:p>
              </w:tc>
              <w:tc>
                <w:tcPr>
                  <w:tcW w:w="1280" w:type="dxa"/>
                  <w:vMerge w:val="continue"/>
                  <w:tcBorders>
                    <w:tl2br w:val="nil"/>
                    <w:tr2bl w:val="nil"/>
                  </w:tcBorders>
                  <w:vAlign w:val="center"/>
                </w:tcPr>
                <w:p>
                  <w:pPr>
                    <w:jc w:val="center"/>
                    <w:rPr>
                      <w:b/>
                      <w:bCs/>
                      <w:szCs w:val="21"/>
                    </w:rPr>
                  </w:pPr>
                </w:p>
              </w:tc>
              <w:tc>
                <w:tcPr>
                  <w:tcW w:w="1712" w:type="dxa"/>
                  <w:gridSpan w:val="2"/>
                  <w:tcBorders>
                    <w:tl2br w:val="nil"/>
                    <w:tr2bl w:val="nil"/>
                  </w:tcBorders>
                  <w:vAlign w:val="center"/>
                </w:tcPr>
                <w:p>
                  <w:pPr>
                    <w:jc w:val="center"/>
                    <w:rPr>
                      <w:b/>
                      <w:bCs/>
                      <w:szCs w:val="21"/>
                    </w:rPr>
                  </w:pPr>
                  <w:r>
                    <w:rPr>
                      <w:b/>
                      <w:bCs/>
                      <w:szCs w:val="21"/>
                    </w:rPr>
                    <w:t>昼间</w:t>
                  </w:r>
                  <w:r>
                    <w:rPr>
                      <w:szCs w:val="21"/>
                    </w:rPr>
                    <w:t>LeqA</w:t>
                  </w:r>
                </w:p>
              </w:tc>
              <w:tc>
                <w:tcPr>
                  <w:tcW w:w="1711" w:type="dxa"/>
                  <w:gridSpan w:val="2"/>
                  <w:tcBorders>
                    <w:tl2br w:val="nil"/>
                    <w:tr2bl w:val="nil"/>
                  </w:tcBorders>
                  <w:vAlign w:val="center"/>
                </w:tcPr>
                <w:p>
                  <w:pPr>
                    <w:jc w:val="center"/>
                    <w:rPr>
                      <w:b/>
                      <w:bCs/>
                      <w:szCs w:val="21"/>
                    </w:rPr>
                  </w:pPr>
                  <w:r>
                    <w:rPr>
                      <w:b/>
                      <w:bCs/>
                      <w:szCs w:val="21"/>
                    </w:rPr>
                    <w:t>夜间</w:t>
                  </w:r>
                  <w:r>
                    <w:rPr>
                      <w:szCs w:val="21"/>
                    </w:rPr>
                    <w:t>LeqA</w:t>
                  </w:r>
                </w:p>
              </w:tc>
              <w:tc>
                <w:tcPr>
                  <w:tcW w:w="1711" w:type="dxa"/>
                  <w:gridSpan w:val="2"/>
                  <w:tcBorders>
                    <w:tl2br w:val="nil"/>
                    <w:tr2bl w:val="nil"/>
                  </w:tcBorders>
                  <w:vAlign w:val="center"/>
                </w:tcPr>
                <w:p>
                  <w:pPr>
                    <w:jc w:val="center"/>
                    <w:rPr>
                      <w:b/>
                      <w:bCs/>
                      <w:szCs w:val="21"/>
                    </w:rPr>
                  </w:pPr>
                  <w:r>
                    <w:rPr>
                      <w:b/>
                      <w:bCs/>
                      <w:szCs w:val="21"/>
                    </w:rPr>
                    <w:t>昼间</w:t>
                  </w:r>
                  <w:r>
                    <w:rPr>
                      <w:szCs w:val="21"/>
                    </w:rPr>
                    <w:t>LeqA</w:t>
                  </w:r>
                </w:p>
              </w:tc>
              <w:tc>
                <w:tcPr>
                  <w:tcW w:w="1721" w:type="dxa"/>
                  <w:gridSpan w:val="2"/>
                  <w:tcBorders>
                    <w:tl2br w:val="nil"/>
                    <w:tr2bl w:val="nil"/>
                  </w:tcBorders>
                  <w:vAlign w:val="center"/>
                </w:tcPr>
                <w:p>
                  <w:pPr>
                    <w:jc w:val="center"/>
                    <w:rPr>
                      <w:b/>
                      <w:bCs/>
                      <w:szCs w:val="21"/>
                    </w:rPr>
                  </w:pPr>
                  <w:r>
                    <w:rPr>
                      <w:b/>
                      <w:bCs/>
                      <w:szCs w:val="21"/>
                    </w:rPr>
                    <w:t>夜间</w:t>
                  </w:r>
                  <w:r>
                    <w:rPr>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vMerge w:val="continue"/>
                  <w:tcBorders>
                    <w:tl2br w:val="nil"/>
                    <w:tr2bl w:val="nil"/>
                  </w:tcBorders>
                  <w:vAlign w:val="center"/>
                </w:tcPr>
                <w:p>
                  <w:pPr>
                    <w:jc w:val="center"/>
                    <w:textAlignment w:val="baseline"/>
                    <w:rPr>
                      <w:szCs w:val="21"/>
                    </w:rPr>
                  </w:pPr>
                </w:p>
              </w:tc>
              <w:tc>
                <w:tcPr>
                  <w:tcW w:w="1280" w:type="dxa"/>
                  <w:vMerge w:val="continue"/>
                  <w:tcBorders>
                    <w:tl2br w:val="nil"/>
                    <w:tr2bl w:val="nil"/>
                  </w:tcBorders>
                  <w:vAlign w:val="center"/>
                </w:tcPr>
                <w:p>
                  <w:pPr>
                    <w:jc w:val="center"/>
                    <w:rPr>
                      <w:szCs w:val="21"/>
                    </w:rPr>
                  </w:pPr>
                </w:p>
              </w:tc>
              <w:tc>
                <w:tcPr>
                  <w:tcW w:w="856" w:type="dxa"/>
                  <w:tcBorders>
                    <w:tl2br w:val="nil"/>
                    <w:tr2bl w:val="nil"/>
                  </w:tcBorders>
                  <w:vAlign w:val="center"/>
                </w:tcPr>
                <w:p>
                  <w:pPr>
                    <w:jc w:val="center"/>
                    <w:rPr>
                      <w:szCs w:val="21"/>
                    </w:rPr>
                  </w:pPr>
                  <w:r>
                    <w:rPr>
                      <w:szCs w:val="21"/>
                    </w:rPr>
                    <w:t>Ⅰ</w:t>
                  </w:r>
                </w:p>
              </w:tc>
              <w:tc>
                <w:tcPr>
                  <w:tcW w:w="856" w:type="dxa"/>
                  <w:tcBorders>
                    <w:tl2br w:val="nil"/>
                    <w:tr2bl w:val="nil"/>
                  </w:tcBorders>
                  <w:vAlign w:val="center"/>
                </w:tcPr>
                <w:p>
                  <w:pPr>
                    <w:jc w:val="center"/>
                    <w:rPr>
                      <w:szCs w:val="21"/>
                    </w:rPr>
                  </w:pPr>
                  <w:r>
                    <w:rPr>
                      <w:szCs w:val="21"/>
                    </w:rPr>
                    <w:t>Ⅱ</w:t>
                  </w:r>
                </w:p>
              </w:tc>
              <w:tc>
                <w:tcPr>
                  <w:tcW w:w="856" w:type="dxa"/>
                  <w:tcBorders>
                    <w:tl2br w:val="nil"/>
                    <w:tr2bl w:val="nil"/>
                  </w:tcBorders>
                  <w:vAlign w:val="center"/>
                </w:tcPr>
                <w:p>
                  <w:pPr>
                    <w:jc w:val="center"/>
                    <w:rPr>
                      <w:szCs w:val="21"/>
                    </w:rPr>
                  </w:pPr>
                  <w:r>
                    <w:rPr>
                      <w:szCs w:val="21"/>
                    </w:rPr>
                    <w:t>Ⅰ</w:t>
                  </w:r>
                </w:p>
              </w:tc>
              <w:tc>
                <w:tcPr>
                  <w:tcW w:w="855" w:type="dxa"/>
                  <w:tcBorders>
                    <w:tl2br w:val="nil"/>
                    <w:tr2bl w:val="nil"/>
                  </w:tcBorders>
                  <w:vAlign w:val="center"/>
                </w:tcPr>
                <w:p>
                  <w:pPr>
                    <w:jc w:val="center"/>
                    <w:rPr>
                      <w:szCs w:val="21"/>
                    </w:rPr>
                  </w:pPr>
                  <w:r>
                    <w:rPr>
                      <w:szCs w:val="21"/>
                    </w:rPr>
                    <w:t>Ⅱ</w:t>
                  </w:r>
                </w:p>
              </w:tc>
              <w:tc>
                <w:tcPr>
                  <w:tcW w:w="856" w:type="dxa"/>
                  <w:tcBorders>
                    <w:tl2br w:val="nil"/>
                    <w:tr2bl w:val="nil"/>
                  </w:tcBorders>
                  <w:vAlign w:val="center"/>
                </w:tcPr>
                <w:p>
                  <w:pPr>
                    <w:jc w:val="center"/>
                    <w:rPr>
                      <w:szCs w:val="21"/>
                    </w:rPr>
                  </w:pPr>
                  <w:r>
                    <w:rPr>
                      <w:szCs w:val="21"/>
                    </w:rPr>
                    <w:t>Ⅰ</w:t>
                  </w:r>
                </w:p>
              </w:tc>
              <w:tc>
                <w:tcPr>
                  <w:tcW w:w="855" w:type="dxa"/>
                  <w:tcBorders>
                    <w:tl2br w:val="nil"/>
                    <w:tr2bl w:val="nil"/>
                  </w:tcBorders>
                  <w:vAlign w:val="center"/>
                </w:tcPr>
                <w:p>
                  <w:pPr>
                    <w:jc w:val="center"/>
                    <w:rPr>
                      <w:szCs w:val="21"/>
                    </w:rPr>
                  </w:pPr>
                  <w:r>
                    <w:rPr>
                      <w:szCs w:val="21"/>
                    </w:rPr>
                    <w:t>Ⅱ</w:t>
                  </w:r>
                </w:p>
              </w:tc>
              <w:tc>
                <w:tcPr>
                  <w:tcW w:w="856" w:type="dxa"/>
                  <w:tcBorders>
                    <w:tl2br w:val="nil"/>
                    <w:tr2bl w:val="nil"/>
                  </w:tcBorders>
                  <w:vAlign w:val="center"/>
                </w:tcPr>
                <w:p>
                  <w:pPr>
                    <w:jc w:val="center"/>
                    <w:rPr>
                      <w:szCs w:val="21"/>
                    </w:rPr>
                  </w:pPr>
                  <w:r>
                    <w:rPr>
                      <w:szCs w:val="21"/>
                    </w:rPr>
                    <w:t>Ⅰ</w:t>
                  </w:r>
                </w:p>
              </w:tc>
              <w:tc>
                <w:tcPr>
                  <w:tcW w:w="865" w:type="dxa"/>
                  <w:tcBorders>
                    <w:tl2br w:val="nil"/>
                    <w:tr2bl w:val="nil"/>
                  </w:tcBorders>
                  <w:vAlign w:val="center"/>
                </w:tcPr>
                <w:p>
                  <w:pPr>
                    <w:jc w:val="center"/>
                    <w:rPr>
                      <w:szCs w:val="21"/>
                    </w:rPr>
                  </w:pPr>
                  <w:r>
                    <w:rPr>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2" w:hRule="atLeast"/>
                <w:jc w:val="center"/>
              </w:trPr>
              <w:tc>
                <w:tcPr>
                  <w:tcW w:w="1219" w:type="dxa"/>
                  <w:tcBorders>
                    <w:tl2br w:val="nil"/>
                    <w:tr2bl w:val="nil"/>
                  </w:tcBorders>
                  <w:vAlign w:val="center"/>
                </w:tcPr>
                <w:p>
                  <w:pPr>
                    <w:jc w:val="center"/>
                    <w:textAlignment w:val="baseline"/>
                    <w:rPr>
                      <w:szCs w:val="21"/>
                    </w:rPr>
                  </w:pPr>
                  <w:r>
                    <w:rPr>
                      <w:szCs w:val="21"/>
                    </w:rPr>
                    <w:t>▲N1</w:t>
                  </w:r>
                </w:p>
              </w:tc>
              <w:tc>
                <w:tcPr>
                  <w:tcW w:w="1280" w:type="dxa"/>
                  <w:tcBorders>
                    <w:tl2br w:val="nil"/>
                    <w:tr2bl w:val="nil"/>
                  </w:tcBorders>
                  <w:vAlign w:val="center"/>
                </w:tcPr>
                <w:p>
                  <w:pPr>
                    <w:jc w:val="center"/>
                    <w:rPr>
                      <w:szCs w:val="21"/>
                    </w:rPr>
                  </w:pPr>
                  <w:r>
                    <w:rPr>
                      <w:szCs w:val="21"/>
                    </w:rPr>
                    <w:t>东厂界</w:t>
                  </w:r>
                </w:p>
              </w:tc>
              <w:tc>
                <w:tcPr>
                  <w:tcW w:w="856" w:type="dxa"/>
                  <w:tcBorders>
                    <w:tl2br w:val="nil"/>
                    <w:tr2bl w:val="nil"/>
                  </w:tcBorders>
                  <w:vAlign w:val="center"/>
                </w:tcPr>
                <w:p>
                  <w:pPr>
                    <w:jc w:val="center"/>
                    <w:rPr>
                      <w:szCs w:val="21"/>
                    </w:rPr>
                  </w:pPr>
                  <w:r>
                    <w:rPr>
                      <w:rFonts w:hint="eastAsia"/>
                      <w:szCs w:val="21"/>
                    </w:rPr>
                    <w:t>58</w:t>
                  </w:r>
                </w:p>
              </w:tc>
              <w:tc>
                <w:tcPr>
                  <w:tcW w:w="856" w:type="dxa"/>
                  <w:tcBorders>
                    <w:tl2br w:val="nil"/>
                    <w:tr2bl w:val="nil"/>
                  </w:tcBorders>
                  <w:vAlign w:val="center"/>
                </w:tcPr>
                <w:p>
                  <w:pPr>
                    <w:jc w:val="center"/>
                    <w:rPr>
                      <w:szCs w:val="21"/>
                    </w:rPr>
                  </w:pPr>
                  <w:r>
                    <w:rPr>
                      <w:rFonts w:hint="eastAsia"/>
                      <w:szCs w:val="21"/>
                    </w:rPr>
                    <w:t>57</w:t>
                  </w:r>
                </w:p>
              </w:tc>
              <w:tc>
                <w:tcPr>
                  <w:tcW w:w="856" w:type="dxa"/>
                  <w:tcBorders>
                    <w:tl2br w:val="nil"/>
                    <w:tr2bl w:val="nil"/>
                  </w:tcBorders>
                  <w:vAlign w:val="center"/>
                </w:tcPr>
                <w:p>
                  <w:pPr>
                    <w:jc w:val="center"/>
                    <w:rPr>
                      <w:szCs w:val="21"/>
                    </w:rPr>
                  </w:pPr>
                  <w:r>
                    <w:rPr>
                      <w:rFonts w:hint="eastAsia"/>
                      <w:szCs w:val="21"/>
                    </w:rPr>
                    <w:t>48</w:t>
                  </w:r>
                </w:p>
              </w:tc>
              <w:tc>
                <w:tcPr>
                  <w:tcW w:w="855" w:type="dxa"/>
                  <w:tcBorders>
                    <w:tl2br w:val="nil"/>
                    <w:tr2bl w:val="nil"/>
                  </w:tcBorders>
                  <w:vAlign w:val="center"/>
                </w:tcPr>
                <w:p>
                  <w:pPr>
                    <w:jc w:val="center"/>
                    <w:rPr>
                      <w:szCs w:val="21"/>
                    </w:rPr>
                  </w:pPr>
                  <w:r>
                    <w:rPr>
                      <w:rFonts w:hint="eastAsia"/>
                      <w:szCs w:val="21"/>
                    </w:rPr>
                    <w:t>46</w:t>
                  </w:r>
                </w:p>
              </w:tc>
              <w:tc>
                <w:tcPr>
                  <w:tcW w:w="856" w:type="dxa"/>
                  <w:tcBorders>
                    <w:tl2br w:val="nil"/>
                    <w:tr2bl w:val="nil"/>
                  </w:tcBorders>
                  <w:vAlign w:val="center"/>
                </w:tcPr>
                <w:p>
                  <w:pPr>
                    <w:jc w:val="center"/>
                    <w:rPr>
                      <w:szCs w:val="21"/>
                    </w:rPr>
                  </w:pPr>
                  <w:r>
                    <w:rPr>
                      <w:rFonts w:hint="eastAsia"/>
                      <w:szCs w:val="21"/>
                    </w:rPr>
                    <w:t>56</w:t>
                  </w:r>
                </w:p>
              </w:tc>
              <w:tc>
                <w:tcPr>
                  <w:tcW w:w="855" w:type="dxa"/>
                  <w:tcBorders>
                    <w:tl2br w:val="nil"/>
                    <w:tr2bl w:val="nil"/>
                  </w:tcBorders>
                  <w:vAlign w:val="center"/>
                </w:tcPr>
                <w:p>
                  <w:pPr>
                    <w:jc w:val="center"/>
                    <w:rPr>
                      <w:szCs w:val="21"/>
                    </w:rPr>
                  </w:pPr>
                  <w:r>
                    <w:rPr>
                      <w:rFonts w:hint="eastAsia"/>
                      <w:szCs w:val="21"/>
                    </w:rPr>
                    <w:t>57</w:t>
                  </w:r>
                </w:p>
              </w:tc>
              <w:tc>
                <w:tcPr>
                  <w:tcW w:w="856" w:type="dxa"/>
                  <w:tcBorders>
                    <w:tl2br w:val="nil"/>
                    <w:tr2bl w:val="nil"/>
                  </w:tcBorders>
                  <w:vAlign w:val="center"/>
                </w:tcPr>
                <w:p>
                  <w:pPr>
                    <w:jc w:val="center"/>
                    <w:rPr>
                      <w:szCs w:val="21"/>
                    </w:rPr>
                  </w:pPr>
                  <w:r>
                    <w:rPr>
                      <w:rFonts w:hint="eastAsia"/>
                      <w:szCs w:val="21"/>
                    </w:rPr>
                    <w:t>46</w:t>
                  </w:r>
                </w:p>
              </w:tc>
              <w:tc>
                <w:tcPr>
                  <w:tcW w:w="865" w:type="dxa"/>
                  <w:tcBorders>
                    <w:tl2br w:val="nil"/>
                    <w:tr2bl w:val="nil"/>
                  </w:tcBorders>
                  <w:vAlign w:val="center"/>
                </w:tcPr>
                <w:p>
                  <w:pPr>
                    <w:jc w:val="center"/>
                    <w:rPr>
                      <w:szCs w:val="21"/>
                    </w:rPr>
                  </w:pPr>
                  <w:r>
                    <w:rPr>
                      <w:rFonts w:hint="eastAsia"/>
                      <w:szCs w:val="21"/>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9" w:hRule="atLeast"/>
                <w:jc w:val="center"/>
              </w:trPr>
              <w:tc>
                <w:tcPr>
                  <w:tcW w:w="1219" w:type="dxa"/>
                  <w:tcBorders>
                    <w:tl2br w:val="nil"/>
                    <w:tr2bl w:val="nil"/>
                  </w:tcBorders>
                  <w:vAlign w:val="center"/>
                </w:tcPr>
                <w:p>
                  <w:pPr>
                    <w:jc w:val="center"/>
                    <w:textAlignment w:val="baseline"/>
                    <w:rPr>
                      <w:szCs w:val="21"/>
                    </w:rPr>
                  </w:pPr>
                  <w:r>
                    <w:rPr>
                      <w:szCs w:val="21"/>
                    </w:rPr>
                    <w:t>▲N2</w:t>
                  </w:r>
                </w:p>
              </w:tc>
              <w:tc>
                <w:tcPr>
                  <w:tcW w:w="1280" w:type="dxa"/>
                  <w:tcBorders>
                    <w:tl2br w:val="nil"/>
                    <w:tr2bl w:val="nil"/>
                  </w:tcBorders>
                  <w:vAlign w:val="center"/>
                </w:tcPr>
                <w:p>
                  <w:pPr>
                    <w:jc w:val="center"/>
                    <w:rPr>
                      <w:szCs w:val="21"/>
                    </w:rPr>
                  </w:pPr>
                  <w:r>
                    <w:rPr>
                      <w:szCs w:val="21"/>
                    </w:rPr>
                    <w:t>南厂界</w:t>
                  </w:r>
                </w:p>
              </w:tc>
              <w:tc>
                <w:tcPr>
                  <w:tcW w:w="856" w:type="dxa"/>
                  <w:tcBorders>
                    <w:tl2br w:val="nil"/>
                    <w:tr2bl w:val="nil"/>
                  </w:tcBorders>
                  <w:vAlign w:val="center"/>
                </w:tcPr>
                <w:p>
                  <w:pPr>
                    <w:jc w:val="center"/>
                    <w:rPr>
                      <w:szCs w:val="21"/>
                    </w:rPr>
                  </w:pPr>
                  <w:r>
                    <w:rPr>
                      <w:rFonts w:hint="eastAsia"/>
                      <w:szCs w:val="21"/>
                    </w:rPr>
                    <w:t>56</w:t>
                  </w:r>
                </w:p>
              </w:tc>
              <w:tc>
                <w:tcPr>
                  <w:tcW w:w="856" w:type="dxa"/>
                  <w:tcBorders>
                    <w:tl2br w:val="nil"/>
                    <w:tr2bl w:val="nil"/>
                  </w:tcBorders>
                  <w:vAlign w:val="center"/>
                </w:tcPr>
                <w:p>
                  <w:pPr>
                    <w:jc w:val="center"/>
                    <w:rPr>
                      <w:szCs w:val="21"/>
                    </w:rPr>
                  </w:pPr>
                  <w:r>
                    <w:rPr>
                      <w:rFonts w:hint="eastAsia"/>
                      <w:szCs w:val="21"/>
                    </w:rPr>
                    <w:t>58</w:t>
                  </w:r>
                </w:p>
              </w:tc>
              <w:tc>
                <w:tcPr>
                  <w:tcW w:w="856" w:type="dxa"/>
                  <w:tcBorders>
                    <w:tl2br w:val="nil"/>
                    <w:tr2bl w:val="nil"/>
                  </w:tcBorders>
                  <w:vAlign w:val="center"/>
                </w:tcPr>
                <w:p>
                  <w:pPr>
                    <w:jc w:val="center"/>
                    <w:rPr>
                      <w:szCs w:val="21"/>
                    </w:rPr>
                  </w:pPr>
                  <w:r>
                    <w:rPr>
                      <w:rFonts w:hint="eastAsia"/>
                      <w:szCs w:val="21"/>
                    </w:rPr>
                    <w:t>45</w:t>
                  </w:r>
                </w:p>
              </w:tc>
              <w:tc>
                <w:tcPr>
                  <w:tcW w:w="855" w:type="dxa"/>
                  <w:tcBorders>
                    <w:tl2br w:val="nil"/>
                    <w:tr2bl w:val="nil"/>
                  </w:tcBorders>
                  <w:vAlign w:val="center"/>
                </w:tcPr>
                <w:p>
                  <w:pPr>
                    <w:jc w:val="center"/>
                    <w:rPr>
                      <w:szCs w:val="21"/>
                    </w:rPr>
                  </w:pPr>
                  <w:r>
                    <w:rPr>
                      <w:rFonts w:hint="eastAsia"/>
                      <w:szCs w:val="21"/>
                    </w:rPr>
                    <w:t>47</w:t>
                  </w:r>
                </w:p>
              </w:tc>
              <w:tc>
                <w:tcPr>
                  <w:tcW w:w="856" w:type="dxa"/>
                  <w:tcBorders>
                    <w:tl2br w:val="nil"/>
                    <w:tr2bl w:val="nil"/>
                  </w:tcBorders>
                  <w:vAlign w:val="center"/>
                </w:tcPr>
                <w:p>
                  <w:pPr>
                    <w:jc w:val="center"/>
                    <w:rPr>
                      <w:szCs w:val="21"/>
                    </w:rPr>
                  </w:pPr>
                  <w:r>
                    <w:rPr>
                      <w:rFonts w:hint="eastAsia"/>
                      <w:szCs w:val="21"/>
                    </w:rPr>
                    <w:t>57</w:t>
                  </w:r>
                </w:p>
              </w:tc>
              <w:tc>
                <w:tcPr>
                  <w:tcW w:w="855" w:type="dxa"/>
                  <w:tcBorders>
                    <w:tl2br w:val="nil"/>
                    <w:tr2bl w:val="nil"/>
                  </w:tcBorders>
                  <w:vAlign w:val="center"/>
                </w:tcPr>
                <w:p>
                  <w:pPr>
                    <w:jc w:val="center"/>
                    <w:rPr>
                      <w:szCs w:val="21"/>
                    </w:rPr>
                  </w:pPr>
                  <w:r>
                    <w:rPr>
                      <w:rFonts w:hint="eastAsia"/>
                      <w:szCs w:val="21"/>
                    </w:rPr>
                    <w:t>58</w:t>
                  </w:r>
                </w:p>
              </w:tc>
              <w:tc>
                <w:tcPr>
                  <w:tcW w:w="856" w:type="dxa"/>
                  <w:tcBorders>
                    <w:tl2br w:val="nil"/>
                    <w:tr2bl w:val="nil"/>
                  </w:tcBorders>
                  <w:vAlign w:val="center"/>
                </w:tcPr>
                <w:p>
                  <w:pPr>
                    <w:jc w:val="center"/>
                    <w:rPr>
                      <w:szCs w:val="21"/>
                    </w:rPr>
                  </w:pPr>
                  <w:r>
                    <w:rPr>
                      <w:rFonts w:hint="eastAsia"/>
                      <w:szCs w:val="21"/>
                    </w:rPr>
                    <w:t>48</w:t>
                  </w:r>
                </w:p>
              </w:tc>
              <w:tc>
                <w:tcPr>
                  <w:tcW w:w="865" w:type="dxa"/>
                  <w:tcBorders>
                    <w:tl2br w:val="nil"/>
                    <w:tr2bl w:val="nil"/>
                  </w:tcBorders>
                  <w:vAlign w:val="center"/>
                </w:tcPr>
                <w:p>
                  <w:pPr>
                    <w:jc w:val="center"/>
                    <w:rPr>
                      <w:szCs w:val="21"/>
                    </w:rPr>
                  </w:pPr>
                  <w:r>
                    <w:rPr>
                      <w:rFonts w:hint="eastAsia"/>
                      <w:szCs w:val="21"/>
                    </w:rPr>
                    <w:t>46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2" w:hRule="atLeast"/>
                <w:jc w:val="center"/>
              </w:trPr>
              <w:tc>
                <w:tcPr>
                  <w:tcW w:w="1219" w:type="dxa"/>
                  <w:tcBorders>
                    <w:tl2br w:val="nil"/>
                    <w:tr2bl w:val="nil"/>
                  </w:tcBorders>
                  <w:vAlign w:val="center"/>
                </w:tcPr>
                <w:p>
                  <w:pPr>
                    <w:jc w:val="center"/>
                    <w:textAlignment w:val="baseline"/>
                    <w:rPr>
                      <w:szCs w:val="21"/>
                    </w:rPr>
                  </w:pPr>
                  <w:r>
                    <w:rPr>
                      <w:szCs w:val="21"/>
                    </w:rPr>
                    <w:t>▲N3</w:t>
                  </w:r>
                </w:p>
              </w:tc>
              <w:tc>
                <w:tcPr>
                  <w:tcW w:w="1280" w:type="dxa"/>
                  <w:tcBorders>
                    <w:tl2br w:val="nil"/>
                    <w:tr2bl w:val="nil"/>
                  </w:tcBorders>
                  <w:vAlign w:val="center"/>
                </w:tcPr>
                <w:p>
                  <w:pPr>
                    <w:jc w:val="center"/>
                    <w:rPr>
                      <w:szCs w:val="21"/>
                    </w:rPr>
                  </w:pPr>
                  <w:r>
                    <w:rPr>
                      <w:szCs w:val="21"/>
                    </w:rPr>
                    <w:t>西厂界</w:t>
                  </w:r>
                </w:p>
              </w:tc>
              <w:tc>
                <w:tcPr>
                  <w:tcW w:w="856" w:type="dxa"/>
                  <w:tcBorders>
                    <w:tl2br w:val="nil"/>
                    <w:tr2bl w:val="nil"/>
                  </w:tcBorders>
                  <w:vAlign w:val="center"/>
                </w:tcPr>
                <w:p>
                  <w:pPr>
                    <w:jc w:val="center"/>
                    <w:rPr>
                      <w:szCs w:val="21"/>
                    </w:rPr>
                  </w:pPr>
                  <w:r>
                    <w:rPr>
                      <w:rFonts w:hint="eastAsia"/>
                      <w:szCs w:val="21"/>
                    </w:rPr>
                    <w:t>59</w:t>
                  </w:r>
                </w:p>
              </w:tc>
              <w:tc>
                <w:tcPr>
                  <w:tcW w:w="856" w:type="dxa"/>
                  <w:tcBorders>
                    <w:tl2br w:val="nil"/>
                    <w:tr2bl w:val="nil"/>
                  </w:tcBorders>
                  <w:vAlign w:val="center"/>
                </w:tcPr>
                <w:p>
                  <w:pPr>
                    <w:jc w:val="center"/>
                    <w:rPr>
                      <w:szCs w:val="21"/>
                    </w:rPr>
                  </w:pPr>
                  <w:r>
                    <w:rPr>
                      <w:rFonts w:hint="eastAsia"/>
                      <w:szCs w:val="21"/>
                    </w:rPr>
                    <w:t>55</w:t>
                  </w:r>
                </w:p>
              </w:tc>
              <w:tc>
                <w:tcPr>
                  <w:tcW w:w="856" w:type="dxa"/>
                  <w:tcBorders>
                    <w:tl2br w:val="nil"/>
                    <w:tr2bl w:val="nil"/>
                  </w:tcBorders>
                  <w:vAlign w:val="center"/>
                </w:tcPr>
                <w:p>
                  <w:pPr>
                    <w:jc w:val="center"/>
                    <w:rPr>
                      <w:szCs w:val="21"/>
                    </w:rPr>
                  </w:pPr>
                  <w:r>
                    <w:rPr>
                      <w:rFonts w:hint="eastAsia"/>
                      <w:szCs w:val="21"/>
                    </w:rPr>
                    <w:t>47</w:t>
                  </w:r>
                </w:p>
              </w:tc>
              <w:tc>
                <w:tcPr>
                  <w:tcW w:w="855" w:type="dxa"/>
                  <w:tcBorders>
                    <w:tl2br w:val="nil"/>
                    <w:tr2bl w:val="nil"/>
                  </w:tcBorders>
                  <w:vAlign w:val="center"/>
                </w:tcPr>
                <w:p>
                  <w:pPr>
                    <w:jc w:val="center"/>
                    <w:rPr>
                      <w:szCs w:val="21"/>
                    </w:rPr>
                  </w:pPr>
                  <w:r>
                    <w:rPr>
                      <w:rFonts w:hint="eastAsia"/>
                      <w:szCs w:val="21"/>
                    </w:rPr>
                    <w:t>48</w:t>
                  </w:r>
                </w:p>
              </w:tc>
              <w:tc>
                <w:tcPr>
                  <w:tcW w:w="856" w:type="dxa"/>
                  <w:tcBorders>
                    <w:tl2br w:val="nil"/>
                    <w:tr2bl w:val="nil"/>
                  </w:tcBorders>
                  <w:vAlign w:val="center"/>
                </w:tcPr>
                <w:p>
                  <w:pPr>
                    <w:jc w:val="center"/>
                    <w:rPr>
                      <w:szCs w:val="21"/>
                    </w:rPr>
                  </w:pPr>
                  <w:r>
                    <w:rPr>
                      <w:rFonts w:hint="eastAsia"/>
                      <w:szCs w:val="21"/>
                    </w:rPr>
                    <w:t>58</w:t>
                  </w:r>
                </w:p>
              </w:tc>
              <w:tc>
                <w:tcPr>
                  <w:tcW w:w="855" w:type="dxa"/>
                  <w:tcBorders>
                    <w:tl2br w:val="nil"/>
                    <w:tr2bl w:val="nil"/>
                  </w:tcBorders>
                  <w:vAlign w:val="center"/>
                </w:tcPr>
                <w:p>
                  <w:pPr>
                    <w:jc w:val="center"/>
                    <w:rPr>
                      <w:szCs w:val="21"/>
                    </w:rPr>
                  </w:pPr>
                  <w:r>
                    <w:rPr>
                      <w:rFonts w:hint="eastAsia"/>
                      <w:szCs w:val="21"/>
                    </w:rPr>
                    <w:t>57</w:t>
                  </w:r>
                </w:p>
              </w:tc>
              <w:tc>
                <w:tcPr>
                  <w:tcW w:w="856" w:type="dxa"/>
                  <w:tcBorders>
                    <w:tl2br w:val="nil"/>
                    <w:tr2bl w:val="nil"/>
                  </w:tcBorders>
                  <w:vAlign w:val="center"/>
                </w:tcPr>
                <w:p>
                  <w:pPr>
                    <w:jc w:val="center"/>
                    <w:rPr>
                      <w:szCs w:val="21"/>
                    </w:rPr>
                  </w:pPr>
                  <w:r>
                    <w:rPr>
                      <w:rFonts w:hint="eastAsia"/>
                      <w:szCs w:val="21"/>
                    </w:rPr>
                    <w:t>48</w:t>
                  </w:r>
                </w:p>
              </w:tc>
              <w:tc>
                <w:tcPr>
                  <w:tcW w:w="865" w:type="dxa"/>
                  <w:tcBorders>
                    <w:tl2br w:val="nil"/>
                    <w:tr2bl w:val="nil"/>
                  </w:tcBorders>
                  <w:vAlign w:val="center"/>
                </w:tcPr>
                <w:p>
                  <w:pPr>
                    <w:jc w:val="center"/>
                    <w:rPr>
                      <w:szCs w:val="21"/>
                    </w:rPr>
                  </w:pPr>
                  <w:r>
                    <w:rPr>
                      <w:rFonts w:hint="eastAsia"/>
                      <w:szCs w:val="21"/>
                    </w:rPr>
                    <w:t>48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5" w:hRule="atLeast"/>
                <w:jc w:val="center"/>
              </w:trPr>
              <w:tc>
                <w:tcPr>
                  <w:tcW w:w="1219" w:type="dxa"/>
                  <w:tcBorders>
                    <w:tl2br w:val="nil"/>
                    <w:tr2bl w:val="nil"/>
                  </w:tcBorders>
                  <w:vAlign w:val="center"/>
                </w:tcPr>
                <w:p>
                  <w:pPr>
                    <w:jc w:val="center"/>
                    <w:textAlignment w:val="baseline"/>
                    <w:rPr>
                      <w:szCs w:val="21"/>
                    </w:rPr>
                  </w:pPr>
                  <w:r>
                    <w:rPr>
                      <w:szCs w:val="21"/>
                    </w:rPr>
                    <w:t>▲N4</w:t>
                  </w:r>
                </w:p>
              </w:tc>
              <w:tc>
                <w:tcPr>
                  <w:tcW w:w="1280" w:type="dxa"/>
                  <w:tcBorders>
                    <w:tl2br w:val="nil"/>
                    <w:tr2bl w:val="nil"/>
                  </w:tcBorders>
                  <w:vAlign w:val="center"/>
                </w:tcPr>
                <w:p>
                  <w:pPr>
                    <w:jc w:val="center"/>
                    <w:rPr>
                      <w:szCs w:val="21"/>
                    </w:rPr>
                  </w:pPr>
                  <w:r>
                    <w:rPr>
                      <w:szCs w:val="21"/>
                    </w:rPr>
                    <w:t>北厂界</w:t>
                  </w:r>
                </w:p>
              </w:tc>
              <w:tc>
                <w:tcPr>
                  <w:tcW w:w="856" w:type="dxa"/>
                  <w:tcBorders>
                    <w:tl2br w:val="nil"/>
                    <w:tr2bl w:val="nil"/>
                  </w:tcBorders>
                  <w:vAlign w:val="center"/>
                </w:tcPr>
                <w:p>
                  <w:pPr>
                    <w:jc w:val="center"/>
                    <w:rPr>
                      <w:szCs w:val="21"/>
                    </w:rPr>
                  </w:pPr>
                  <w:r>
                    <w:rPr>
                      <w:rFonts w:hint="eastAsia"/>
                      <w:szCs w:val="21"/>
                    </w:rPr>
                    <w:t>57</w:t>
                  </w:r>
                </w:p>
              </w:tc>
              <w:tc>
                <w:tcPr>
                  <w:tcW w:w="856" w:type="dxa"/>
                  <w:tcBorders>
                    <w:tl2br w:val="nil"/>
                    <w:tr2bl w:val="nil"/>
                  </w:tcBorders>
                  <w:vAlign w:val="center"/>
                </w:tcPr>
                <w:p>
                  <w:pPr>
                    <w:jc w:val="center"/>
                    <w:rPr>
                      <w:szCs w:val="21"/>
                    </w:rPr>
                  </w:pPr>
                  <w:r>
                    <w:rPr>
                      <w:rFonts w:hint="eastAsia"/>
                      <w:szCs w:val="21"/>
                    </w:rPr>
                    <w:t>56</w:t>
                  </w:r>
                </w:p>
              </w:tc>
              <w:tc>
                <w:tcPr>
                  <w:tcW w:w="856" w:type="dxa"/>
                  <w:tcBorders>
                    <w:tl2br w:val="nil"/>
                    <w:tr2bl w:val="nil"/>
                  </w:tcBorders>
                  <w:vAlign w:val="center"/>
                </w:tcPr>
                <w:p>
                  <w:pPr>
                    <w:jc w:val="center"/>
                    <w:rPr>
                      <w:szCs w:val="21"/>
                    </w:rPr>
                  </w:pPr>
                  <w:r>
                    <w:rPr>
                      <w:rFonts w:hint="eastAsia"/>
                      <w:szCs w:val="21"/>
                    </w:rPr>
                    <w:t>48</w:t>
                  </w:r>
                </w:p>
              </w:tc>
              <w:tc>
                <w:tcPr>
                  <w:tcW w:w="855" w:type="dxa"/>
                  <w:tcBorders>
                    <w:tl2br w:val="nil"/>
                    <w:tr2bl w:val="nil"/>
                  </w:tcBorders>
                  <w:vAlign w:val="center"/>
                </w:tcPr>
                <w:p>
                  <w:pPr>
                    <w:jc w:val="center"/>
                    <w:rPr>
                      <w:szCs w:val="21"/>
                    </w:rPr>
                  </w:pPr>
                  <w:r>
                    <w:rPr>
                      <w:rFonts w:hint="eastAsia"/>
                      <w:szCs w:val="21"/>
                    </w:rPr>
                    <w:t>46</w:t>
                  </w:r>
                </w:p>
              </w:tc>
              <w:tc>
                <w:tcPr>
                  <w:tcW w:w="856" w:type="dxa"/>
                  <w:tcBorders>
                    <w:tl2br w:val="nil"/>
                    <w:tr2bl w:val="nil"/>
                  </w:tcBorders>
                  <w:vAlign w:val="center"/>
                </w:tcPr>
                <w:p>
                  <w:pPr>
                    <w:jc w:val="center"/>
                    <w:rPr>
                      <w:szCs w:val="21"/>
                    </w:rPr>
                  </w:pPr>
                  <w:r>
                    <w:rPr>
                      <w:rFonts w:hint="eastAsia"/>
                      <w:szCs w:val="21"/>
                    </w:rPr>
                    <w:t>57</w:t>
                  </w:r>
                </w:p>
              </w:tc>
              <w:tc>
                <w:tcPr>
                  <w:tcW w:w="855" w:type="dxa"/>
                  <w:tcBorders>
                    <w:tl2br w:val="nil"/>
                    <w:tr2bl w:val="nil"/>
                  </w:tcBorders>
                  <w:vAlign w:val="center"/>
                </w:tcPr>
                <w:p>
                  <w:pPr>
                    <w:jc w:val="center"/>
                    <w:rPr>
                      <w:szCs w:val="21"/>
                    </w:rPr>
                  </w:pPr>
                  <w:r>
                    <w:rPr>
                      <w:rFonts w:hint="eastAsia"/>
                      <w:szCs w:val="21"/>
                    </w:rPr>
                    <w:t>56</w:t>
                  </w:r>
                </w:p>
              </w:tc>
              <w:tc>
                <w:tcPr>
                  <w:tcW w:w="856" w:type="dxa"/>
                  <w:tcBorders>
                    <w:tl2br w:val="nil"/>
                    <w:tr2bl w:val="nil"/>
                  </w:tcBorders>
                  <w:vAlign w:val="center"/>
                </w:tcPr>
                <w:p>
                  <w:pPr>
                    <w:jc w:val="center"/>
                    <w:rPr>
                      <w:szCs w:val="21"/>
                    </w:rPr>
                  </w:pPr>
                  <w:r>
                    <w:rPr>
                      <w:rFonts w:hint="eastAsia"/>
                      <w:szCs w:val="21"/>
                    </w:rPr>
                    <w:t>46</w:t>
                  </w:r>
                </w:p>
              </w:tc>
              <w:tc>
                <w:tcPr>
                  <w:tcW w:w="865" w:type="dxa"/>
                  <w:tcBorders>
                    <w:tl2br w:val="nil"/>
                    <w:tr2bl w:val="nil"/>
                  </w:tcBorders>
                  <w:vAlign w:val="center"/>
                </w:tcPr>
                <w:p>
                  <w:pPr>
                    <w:jc w:val="center"/>
                    <w:rPr>
                      <w:szCs w:val="21"/>
                    </w:rPr>
                  </w:pPr>
                  <w:r>
                    <w:rPr>
                      <w:rFonts w:hint="eastAsia"/>
                      <w:szCs w:val="21"/>
                    </w:rPr>
                    <w:t>49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8" w:hRule="atLeast"/>
                <w:jc w:val="center"/>
              </w:trPr>
              <w:tc>
                <w:tcPr>
                  <w:tcW w:w="2499" w:type="dxa"/>
                  <w:gridSpan w:val="2"/>
                  <w:tcBorders>
                    <w:tl2br w:val="nil"/>
                    <w:tr2bl w:val="nil"/>
                  </w:tcBorders>
                  <w:vAlign w:val="center"/>
                </w:tcPr>
                <w:p>
                  <w:pPr>
                    <w:jc w:val="center"/>
                    <w:rPr>
                      <w:szCs w:val="21"/>
                    </w:rPr>
                  </w:pPr>
                  <w:r>
                    <w:rPr>
                      <w:rFonts w:hint="eastAsia"/>
                      <w:szCs w:val="21"/>
                    </w:rPr>
                    <w:t>标准</w:t>
                  </w:r>
                </w:p>
              </w:tc>
              <w:tc>
                <w:tcPr>
                  <w:tcW w:w="1712" w:type="dxa"/>
                  <w:gridSpan w:val="2"/>
                  <w:tcBorders>
                    <w:tl2br w:val="nil"/>
                    <w:tr2bl w:val="nil"/>
                  </w:tcBorders>
                  <w:vAlign w:val="center"/>
                </w:tcPr>
                <w:p>
                  <w:pPr>
                    <w:jc w:val="center"/>
                    <w:rPr>
                      <w:szCs w:val="21"/>
                    </w:rPr>
                  </w:pPr>
                  <w:r>
                    <w:rPr>
                      <w:rFonts w:hint="eastAsia"/>
                      <w:szCs w:val="21"/>
                    </w:rPr>
                    <w:t>65</w:t>
                  </w:r>
                </w:p>
              </w:tc>
              <w:tc>
                <w:tcPr>
                  <w:tcW w:w="1711" w:type="dxa"/>
                  <w:gridSpan w:val="2"/>
                  <w:tcBorders>
                    <w:tl2br w:val="nil"/>
                    <w:tr2bl w:val="nil"/>
                  </w:tcBorders>
                  <w:vAlign w:val="center"/>
                </w:tcPr>
                <w:p>
                  <w:pPr>
                    <w:jc w:val="center"/>
                    <w:rPr>
                      <w:szCs w:val="21"/>
                    </w:rPr>
                  </w:pPr>
                  <w:r>
                    <w:rPr>
                      <w:rFonts w:hint="eastAsia"/>
                      <w:szCs w:val="21"/>
                    </w:rPr>
                    <w:t>55</w:t>
                  </w:r>
                </w:p>
              </w:tc>
              <w:tc>
                <w:tcPr>
                  <w:tcW w:w="1711" w:type="dxa"/>
                  <w:gridSpan w:val="2"/>
                  <w:tcBorders>
                    <w:tl2br w:val="nil"/>
                    <w:tr2bl w:val="nil"/>
                  </w:tcBorders>
                  <w:vAlign w:val="center"/>
                </w:tcPr>
                <w:p>
                  <w:pPr>
                    <w:jc w:val="center"/>
                    <w:rPr>
                      <w:szCs w:val="21"/>
                    </w:rPr>
                  </w:pPr>
                  <w:r>
                    <w:rPr>
                      <w:rFonts w:hint="eastAsia"/>
                      <w:szCs w:val="21"/>
                    </w:rPr>
                    <w:t>65</w:t>
                  </w:r>
                </w:p>
              </w:tc>
              <w:tc>
                <w:tcPr>
                  <w:tcW w:w="1721" w:type="dxa"/>
                  <w:gridSpan w:val="2"/>
                  <w:tcBorders>
                    <w:tl2br w:val="nil"/>
                    <w:tr2bl w:val="nil"/>
                  </w:tcBorders>
                  <w:vAlign w:val="center"/>
                </w:tcPr>
                <w:p>
                  <w:pPr>
                    <w:jc w:val="center"/>
                    <w:rPr>
                      <w:szCs w:val="21"/>
                    </w:rPr>
                  </w:pPr>
                  <w:r>
                    <w:rPr>
                      <w:rFonts w:hint="eastAsia"/>
                      <w:szCs w:val="21"/>
                    </w:rPr>
                    <w:t>55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5" w:hRule="atLeast"/>
                <w:jc w:val="center"/>
              </w:trPr>
              <w:tc>
                <w:tcPr>
                  <w:tcW w:w="2499" w:type="dxa"/>
                  <w:gridSpan w:val="2"/>
                  <w:tcBorders>
                    <w:tl2br w:val="nil"/>
                    <w:tr2bl w:val="nil"/>
                  </w:tcBorders>
                  <w:vAlign w:val="center"/>
                </w:tcPr>
                <w:p>
                  <w:pPr>
                    <w:jc w:val="center"/>
                    <w:rPr>
                      <w:szCs w:val="21"/>
                    </w:rPr>
                  </w:pPr>
                  <w:r>
                    <w:rPr>
                      <w:rFonts w:hint="eastAsia"/>
                      <w:szCs w:val="21"/>
                    </w:rPr>
                    <w:t>达标情况</w:t>
                  </w:r>
                </w:p>
              </w:tc>
              <w:tc>
                <w:tcPr>
                  <w:tcW w:w="1712" w:type="dxa"/>
                  <w:gridSpan w:val="2"/>
                  <w:tcBorders>
                    <w:tl2br w:val="nil"/>
                    <w:tr2bl w:val="nil"/>
                  </w:tcBorders>
                  <w:vAlign w:val="center"/>
                </w:tcPr>
                <w:p>
                  <w:pPr>
                    <w:jc w:val="center"/>
                    <w:rPr>
                      <w:szCs w:val="21"/>
                    </w:rPr>
                  </w:pPr>
                  <w:r>
                    <w:rPr>
                      <w:rFonts w:hint="eastAsia"/>
                      <w:szCs w:val="21"/>
                    </w:rPr>
                    <w:t>达标</w:t>
                  </w:r>
                </w:p>
              </w:tc>
              <w:tc>
                <w:tcPr>
                  <w:tcW w:w="1711" w:type="dxa"/>
                  <w:gridSpan w:val="2"/>
                  <w:tcBorders>
                    <w:tl2br w:val="nil"/>
                    <w:tr2bl w:val="nil"/>
                  </w:tcBorders>
                  <w:vAlign w:val="center"/>
                </w:tcPr>
                <w:p>
                  <w:pPr>
                    <w:jc w:val="center"/>
                    <w:rPr>
                      <w:szCs w:val="21"/>
                    </w:rPr>
                  </w:pPr>
                  <w:r>
                    <w:rPr>
                      <w:rFonts w:hint="eastAsia"/>
                      <w:szCs w:val="21"/>
                    </w:rPr>
                    <w:t>达标</w:t>
                  </w:r>
                </w:p>
              </w:tc>
              <w:tc>
                <w:tcPr>
                  <w:tcW w:w="1711" w:type="dxa"/>
                  <w:gridSpan w:val="2"/>
                  <w:tcBorders>
                    <w:tl2br w:val="nil"/>
                    <w:tr2bl w:val="nil"/>
                  </w:tcBorders>
                  <w:vAlign w:val="center"/>
                </w:tcPr>
                <w:p>
                  <w:pPr>
                    <w:jc w:val="center"/>
                    <w:rPr>
                      <w:szCs w:val="21"/>
                    </w:rPr>
                  </w:pPr>
                  <w:r>
                    <w:rPr>
                      <w:rFonts w:hint="eastAsia"/>
                      <w:szCs w:val="21"/>
                    </w:rPr>
                    <w:t>达标</w:t>
                  </w:r>
                </w:p>
              </w:tc>
              <w:tc>
                <w:tcPr>
                  <w:tcW w:w="1721" w:type="dxa"/>
                  <w:gridSpan w:val="2"/>
                  <w:tcBorders>
                    <w:tl2br w:val="nil"/>
                    <w:tr2bl w:val="nil"/>
                  </w:tcBorders>
                  <w:vAlign w:val="center"/>
                </w:tcPr>
                <w:p>
                  <w:pPr>
                    <w:jc w:val="center"/>
                    <w:rPr>
                      <w:szCs w:val="21"/>
                    </w:rPr>
                  </w:pPr>
                  <w:r>
                    <w:rPr>
                      <w:rFonts w:hint="eastAsia"/>
                      <w:szCs w:val="21"/>
                    </w:rPr>
                    <w:t>达标</w:t>
                  </w:r>
                </w:p>
              </w:tc>
            </w:tr>
          </w:tbl>
          <w:p>
            <w:pPr>
              <w:pStyle w:val="9"/>
              <w:spacing w:before="156" w:beforeLines="50" w:line="360" w:lineRule="auto"/>
              <w:ind w:firstLine="480" w:firstLineChars="200"/>
              <w:jc w:val="both"/>
              <w:rPr>
                <w:rFonts w:ascii="Times New Roman" w:hAnsi="Times New Roman"/>
                <w:sz w:val="24"/>
              </w:rPr>
            </w:pPr>
            <w:r>
              <w:rPr>
                <w:rFonts w:hint="eastAsia" w:ascii="Times New Roman" w:hAnsi="Times New Roman"/>
                <w:bCs/>
                <w:sz w:val="24"/>
              </w:rPr>
              <w:t>验收监测结果表明：验收监测期间</w:t>
            </w:r>
            <w:r>
              <w:rPr>
                <w:sz w:val="24"/>
              </w:rPr>
              <w:t>，</w:t>
            </w:r>
            <w:r>
              <w:rPr>
                <w:rFonts w:ascii="Times New Roman" w:hAnsi="Times New Roman"/>
                <w:sz w:val="24"/>
              </w:rPr>
              <w:t>项目厂界</w:t>
            </w:r>
            <w:r>
              <w:rPr>
                <w:rFonts w:hint="eastAsia" w:ascii="Times New Roman" w:hAnsi="Times New Roman"/>
                <w:sz w:val="24"/>
              </w:rPr>
              <w:t>四周噪声均满足</w:t>
            </w:r>
            <w:r>
              <w:rPr>
                <w:rFonts w:ascii="Times New Roman" w:hAnsi="Times New Roman"/>
                <w:sz w:val="24"/>
              </w:rPr>
              <w:t>《工业企业厂界环境噪声排放标准》（GB12348-2008）中</w:t>
            </w:r>
            <w:r>
              <w:rPr>
                <w:rFonts w:hint="eastAsia" w:ascii="Times New Roman" w:hAnsi="Times New Roman"/>
                <w:sz w:val="24"/>
              </w:rPr>
              <w:t>3</w:t>
            </w:r>
            <w:r>
              <w:rPr>
                <w:rFonts w:ascii="Times New Roman" w:hAnsi="Times New Roman"/>
                <w:sz w:val="24"/>
              </w:rPr>
              <w:t>类标准</w:t>
            </w:r>
            <w:r>
              <w:rPr>
                <w:rFonts w:hint="eastAsia" w:ascii="Times New Roman" w:hAnsi="Times New Roman"/>
                <w:sz w:val="24"/>
              </w:rPr>
              <w:t>，达标排放</w:t>
            </w:r>
            <w:r>
              <w:rPr>
                <w:rFonts w:ascii="Times New Roman" w:hAnsi="Times New Roman"/>
                <w:sz w:val="24"/>
                <w:szCs w:val="32"/>
              </w:rPr>
              <w:t>。</w:t>
            </w:r>
          </w:p>
          <w:p>
            <w:pPr>
              <w:pStyle w:val="9"/>
              <w:spacing w:line="360" w:lineRule="auto"/>
              <w:jc w:val="both"/>
              <w:rPr>
                <w:rFonts w:ascii="Times New Roman" w:hAnsi="Times New Roman"/>
                <w:b/>
                <w:bCs/>
                <w:sz w:val="28"/>
                <w:szCs w:val="28"/>
              </w:rPr>
            </w:pPr>
            <w:r>
              <w:rPr>
                <w:rFonts w:ascii="Times New Roman" w:hAnsi="Times New Roman"/>
                <w:b/>
                <w:bCs/>
                <w:sz w:val="28"/>
                <w:szCs w:val="28"/>
              </w:rPr>
              <w:t>7.</w:t>
            </w:r>
            <w:r>
              <w:rPr>
                <w:rFonts w:hint="eastAsia" w:ascii="Times New Roman" w:hAnsi="Times New Roman"/>
                <w:b/>
                <w:bCs/>
                <w:sz w:val="28"/>
                <w:szCs w:val="28"/>
              </w:rPr>
              <w:t>3</w:t>
            </w:r>
            <w:r>
              <w:rPr>
                <w:rFonts w:ascii="Times New Roman" w:hAnsi="Times New Roman"/>
                <w:b/>
                <w:bCs/>
                <w:sz w:val="28"/>
                <w:szCs w:val="28"/>
              </w:rPr>
              <w:t>总量核算</w:t>
            </w:r>
          </w:p>
          <w:p>
            <w:pPr>
              <w:spacing w:line="360" w:lineRule="auto"/>
              <w:ind w:firstLine="480" w:firstLineChars="200"/>
              <w:rPr>
                <w:bCs/>
                <w:color w:val="000000"/>
                <w:sz w:val="24"/>
              </w:rPr>
            </w:pPr>
            <w:r>
              <w:rPr>
                <w:bCs/>
                <w:color w:val="000000"/>
                <w:sz w:val="24"/>
              </w:rPr>
              <w:t>本项目</w:t>
            </w:r>
            <w:r>
              <w:rPr>
                <w:rFonts w:hint="eastAsia"/>
                <w:bCs/>
                <w:color w:val="000000"/>
                <w:sz w:val="24"/>
              </w:rPr>
              <w:t>环评未申请污染物总量，根据实际验收监测情况，</w:t>
            </w:r>
            <w:r>
              <w:rPr>
                <w:bCs/>
                <w:color w:val="000000"/>
                <w:sz w:val="24"/>
              </w:rPr>
              <w:t>废气总量为非甲烷总烃：</w:t>
            </w:r>
            <w:r>
              <w:rPr>
                <w:rFonts w:hint="eastAsia"/>
                <w:bCs/>
                <w:color w:val="000000"/>
                <w:sz w:val="24"/>
              </w:rPr>
              <w:t>0.164</w:t>
            </w:r>
            <w:r>
              <w:rPr>
                <w:bCs/>
                <w:color w:val="000000"/>
                <w:sz w:val="24"/>
              </w:rPr>
              <w:t>t/a</w:t>
            </w:r>
            <w:r>
              <w:rPr>
                <w:rFonts w:hint="eastAsia"/>
                <w:bCs/>
                <w:color w:val="000000"/>
                <w:sz w:val="24"/>
              </w:rPr>
              <w:t>。</w:t>
            </w:r>
          </w:p>
          <w:p>
            <w:pPr>
              <w:tabs>
                <w:tab w:val="left" w:pos="5710"/>
              </w:tabs>
              <w:spacing w:line="360" w:lineRule="auto"/>
              <w:ind w:firstLine="480" w:firstLineChars="200"/>
              <w:rPr>
                <w:color w:val="FF0000"/>
                <w:sz w:val="24"/>
              </w:rPr>
            </w:pP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sz w:val="32"/>
          <w:szCs w:val="32"/>
        </w:rPr>
        <w:t>表</w:t>
      </w:r>
      <w:r>
        <w:rPr>
          <w:rFonts w:hint="eastAsia"/>
          <w:b/>
          <w:sz w:val="32"/>
          <w:szCs w:val="32"/>
        </w:rPr>
        <w:t>八</w:t>
      </w:r>
    </w:p>
    <w:tbl>
      <w:tblPr>
        <w:tblStyle w:val="23"/>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tcPr>
          <w:p>
            <w:pPr>
              <w:snapToGrid w:val="0"/>
              <w:spacing w:before="156" w:beforeLines="50" w:line="360" w:lineRule="auto"/>
              <w:rPr>
                <w:b/>
                <w:sz w:val="28"/>
                <w:szCs w:val="28"/>
              </w:rPr>
            </w:pPr>
            <w:r>
              <w:rPr>
                <w:rFonts w:hint="eastAsia"/>
                <w:b/>
                <w:sz w:val="28"/>
                <w:szCs w:val="28"/>
              </w:rPr>
              <w:t>8</w:t>
            </w:r>
            <w:r>
              <w:rPr>
                <w:b/>
                <w:sz w:val="28"/>
                <w:szCs w:val="28"/>
              </w:rPr>
              <w:t>验收监测结论</w:t>
            </w:r>
          </w:p>
          <w:p>
            <w:pPr>
              <w:pStyle w:val="37"/>
              <w:spacing w:after="0" w:line="360" w:lineRule="auto"/>
              <w:ind w:firstLine="480" w:firstLineChars="200"/>
              <w:rPr>
                <w:rFonts w:ascii="Times New Roman" w:hAnsi="Times New Roman"/>
                <w:b w:val="0"/>
                <w:color w:val="auto"/>
                <w:sz w:val="24"/>
              </w:rPr>
            </w:pPr>
            <w:r>
              <w:rPr>
                <w:rFonts w:hint="eastAsia" w:ascii="Times New Roman" w:hAnsi="Times New Roman"/>
                <w:b w:val="0"/>
                <w:bCs/>
                <w:color w:val="auto"/>
                <w:sz w:val="24"/>
                <w:szCs w:val="24"/>
                <w:lang w:val="zh-CN"/>
              </w:rPr>
              <w:t>安徽省振兴节能科技有限公司</w:t>
            </w:r>
            <w:r>
              <w:rPr>
                <w:rFonts w:hint="eastAsia" w:ascii="Times New Roman" w:hAnsi="Times New Roman"/>
                <w:b w:val="0"/>
                <w:bCs/>
                <w:color w:val="auto"/>
                <w:sz w:val="24"/>
                <w:szCs w:val="24"/>
              </w:rPr>
              <w:t>主要从事节能安全玻璃的生产，本次验收为玻璃深加工</w:t>
            </w:r>
            <w:r>
              <w:rPr>
                <w:rFonts w:ascii="Times New Roman" w:hAnsi="Times New Roman"/>
                <w:b w:val="0"/>
                <w:bCs/>
                <w:color w:val="auto"/>
                <w:sz w:val="24"/>
                <w:szCs w:val="24"/>
              </w:rPr>
              <w:t>项目。</w:t>
            </w:r>
            <w:r>
              <w:rPr>
                <w:rFonts w:hint="eastAsia" w:ascii="Times New Roman" w:hAnsi="Times New Roman"/>
                <w:b w:val="0"/>
                <w:bCs/>
                <w:color w:val="auto"/>
                <w:sz w:val="24"/>
                <w:szCs w:val="24"/>
                <w:lang w:val="zh-CN"/>
              </w:rPr>
              <w:t>安徽省振兴节能科技有限公司玻璃深加工</w:t>
            </w:r>
            <w:r>
              <w:rPr>
                <w:rFonts w:ascii="Times New Roman" w:hAnsi="Times New Roman"/>
                <w:b w:val="0"/>
                <w:bCs/>
                <w:color w:val="auto"/>
                <w:sz w:val="24"/>
                <w:szCs w:val="24"/>
              </w:rPr>
              <w:t>项目</w:t>
            </w:r>
            <w:r>
              <w:rPr>
                <w:rFonts w:hint="eastAsia" w:ascii="Times New Roman" w:hAnsi="Times New Roman"/>
                <w:b w:val="0"/>
                <w:bCs/>
                <w:color w:val="auto"/>
                <w:sz w:val="24"/>
                <w:szCs w:val="24"/>
              </w:rPr>
              <w:t>于2020年9月委托安徽启晨环境科技有限公司</w:t>
            </w:r>
            <w:r>
              <w:rPr>
                <w:rFonts w:ascii="Times New Roman" w:hAnsi="Times New Roman"/>
                <w:b w:val="0"/>
                <w:color w:val="auto"/>
                <w:sz w:val="24"/>
              </w:rPr>
              <w:t>承担其环境影响评价工作</w:t>
            </w:r>
            <w:r>
              <w:rPr>
                <w:rFonts w:hint="eastAsia" w:ascii="Times New Roman" w:hAnsi="Times New Roman"/>
                <w:b w:val="0"/>
                <w:color w:val="auto"/>
                <w:sz w:val="24"/>
              </w:rPr>
              <w:t>，于2020年11月经肥东县环境保护局予以批复，取得《关于</w:t>
            </w:r>
            <w:r>
              <w:rPr>
                <w:rFonts w:hint="eastAsia" w:ascii="Times New Roman" w:hAnsi="Times New Roman"/>
                <w:b w:val="0"/>
                <w:bCs/>
                <w:color w:val="auto"/>
                <w:sz w:val="24"/>
                <w:szCs w:val="24"/>
                <w:lang w:val="zh-CN"/>
              </w:rPr>
              <w:t>安徽省振兴节能科技有限公司玻璃深加工</w:t>
            </w:r>
            <w:r>
              <w:rPr>
                <w:rFonts w:ascii="Times New Roman" w:hAnsi="Times New Roman"/>
                <w:b w:val="0"/>
                <w:bCs/>
                <w:color w:val="auto"/>
                <w:sz w:val="24"/>
                <w:szCs w:val="24"/>
              </w:rPr>
              <w:t>项目</w:t>
            </w:r>
            <w:r>
              <w:rPr>
                <w:rFonts w:hint="eastAsia" w:ascii="Times New Roman" w:hAnsi="Times New Roman"/>
                <w:b w:val="0"/>
                <w:bCs/>
                <w:color w:val="auto"/>
                <w:sz w:val="24"/>
                <w:szCs w:val="24"/>
              </w:rPr>
              <w:t>环境影响报告表</w:t>
            </w:r>
            <w:r>
              <w:rPr>
                <w:rFonts w:hint="eastAsia" w:ascii="Times New Roman" w:hAnsi="Times New Roman"/>
                <w:b w:val="0"/>
                <w:color w:val="auto"/>
                <w:sz w:val="24"/>
              </w:rPr>
              <w:t>》的批复（东环建审（【2020】199号，</w:t>
            </w:r>
            <w:r>
              <w:rPr>
                <w:rFonts w:hint="eastAsia" w:ascii="Times New Roman" w:hAnsi="Times New Roman"/>
                <w:b w:val="0"/>
                <w:bCs/>
                <w:color w:val="auto"/>
                <w:sz w:val="24"/>
                <w:szCs w:val="24"/>
                <w:lang w:val="zh-CN"/>
              </w:rPr>
              <w:t>安徽省振兴节能科技有限公司</w:t>
            </w:r>
            <w:r>
              <w:rPr>
                <w:rFonts w:hint="eastAsia" w:ascii="Times New Roman" w:hAnsi="Times New Roman"/>
                <w:b w:val="0"/>
                <w:color w:val="auto"/>
                <w:sz w:val="24"/>
              </w:rPr>
              <w:t>于2022年1月对该</w:t>
            </w:r>
            <w:r>
              <w:rPr>
                <w:rFonts w:ascii="Times New Roman" w:hAnsi="Times New Roman"/>
                <w:b w:val="0"/>
                <w:color w:val="auto"/>
                <w:sz w:val="24"/>
              </w:rPr>
              <w:t>项目进行了环境保护验收工作。该次验收范围及规模</w:t>
            </w:r>
            <w:r>
              <w:rPr>
                <w:rFonts w:ascii="Times New Roman" w:hAnsi="Times New Roman"/>
                <w:b w:val="0"/>
                <w:bCs/>
                <w:color w:val="auto"/>
                <w:sz w:val="24"/>
                <w:szCs w:val="24"/>
              </w:rPr>
              <w:t>为</w:t>
            </w:r>
            <w:r>
              <w:rPr>
                <w:rFonts w:hint="eastAsia" w:ascii="Times New Roman" w:hAnsi="Times New Roman"/>
                <w:b w:val="0"/>
                <w:bCs/>
                <w:snapToGrid w:val="0"/>
                <w:color w:val="auto"/>
                <w:kern w:val="0"/>
                <w:sz w:val="24"/>
                <w:szCs w:val="24"/>
              </w:rPr>
              <w:t>年加工153.75万平方米节能安全玻璃</w:t>
            </w:r>
            <w:r>
              <w:rPr>
                <w:rFonts w:hint="eastAsia" w:ascii="Times New Roman" w:hAnsi="Times New Roman"/>
                <w:b w:val="0"/>
                <w:bCs/>
                <w:color w:val="auto"/>
                <w:sz w:val="24"/>
                <w:szCs w:val="24"/>
              </w:rPr>
              <w:t>及</w:t>
            </w:r>
            <w:r>
              <w:rPr>
                <w:rFonts w:ascii="Times New Roman" w:hAnsi="Times New Roman"/>
                <w:b w:val="0"/>
                <w:bCs/>
                <w:color w:val="auto"/>
                <w:sz w:val="24"/>
                <w:szCs w:val="24"/>
              </w:rPr>
              <w:t>已完成的主要车间和配套设施建设</w:t>
            </w:r>
            <w:r>
              <w:rPr>
                <w:rFonts w:ascii="Times New Roman" w:hAnsi="Times New Roman"/>
                <w:b w:val="0"/>
                <w:color w:val="auto"/>
                <w:sz w:val="24"/>
              </w:rPr>
              <w:t>。</w:t>
            </w:r>
          </w:p>
          <w:p>
            <w:pPr>
              <w:spacing w:line="360" w:lineRule="auto"/>
              <w:ind w:firstLine="480" w:firstLineChars="200"/>
              <w:rPr>
                <w:kern w:val="0"/>
                <w:sz w:val="24"/>
              </w:rPr>
            </w:pPr>
            <w:r>
              <w:rPr>
                <w:sz w:val="24"/>
              </w:rPr>
              <w:t>安徽</w:t>
            </w:r>
            <w:r>
              <w:rPr>
                <w:rFonts w:hint="eastAsia"/>
                <w:sz w:val="24"/>
              </w:rPr>
              <w:t>尚德谱检测技术</w:t>
            </w:r>
            <w:r>
              <w:rPr>
                <w:sz w:val="24"/>
              </w:rPr>
              <w:t>有限</w:t>
            </w:r>
            <w:r>
              <w:rPr>
                <w:rFonts w:hint="eastAsia"/>
                <w:sz w:val="24"/>
              </w:rPr>
              <w:t>责任</w:t>
            </w:r>
            <w:r>
              <w:rPr>
                <w:sz w:val="24"/>
              </w:rPr>
              <w:t>公司于20</w:t>
            </w:r>
            <w:r>
              <w:rPr>
                <w:rFonts w:hint="eastAsia"/>
                <w:sz w:val="24"/>
              </w:rPr>
              <w:t>22</w:t>
            </w:r>
            <w:r>
              <w:rPr>
                <w:sz w:val="24"/>
              </w:rPr>
              <w:t>.</w:t>
            </w:r>
            <w:r>
              <w:rPr>
                <w:rFonts w:hint="eastAsia"/>
                <w:sz w:val="24"/>
              </w:rPr>
              <w:t>2</w:t>
            </w:r>
            <w:r>
              <w:rPr>
                <w:sz w:val="24"/>
              </w:rPr>
              <w:t>.</w:t>
            </w:r>
            <w:r>
              <w:rPr>
                <w:rFonts w:hint="eastAsia"/>
                <w:sz w:val="24"/>
                <w:lang w:val="en-US" w:eastAsia="zh-CN"/>
              </w:rPr>
              <w:t>9</w:t>
            </w:r>
            <w:r>
              <w:rPr>
                <w:sz w:val="24"/>
              </w:rPr>
              <w:t>~20</w:t>
            </w:r>
            <w:r>
              <w:rPr>
                <w:rFonts w:hint="eastAsia"/>
                <w:sz w:val="24"/>
              </w:rPr>
              <w:t>22</w:t>
            </w:r>
            <w:r>
              <w:rPr>
                <w:sz w:val="24"/>
              </w:rPr>
              <w:t>.</w:t>
            </w:r>
            <w:r>
              <w:rPr>
                <w:rFonts w:hint="eastAsia"/>
                <w:sz w:val="24"/>
              </w:rPr>
              <w:t>2</w:t>
            </w:r>
            <w:r>
              <w:rPr>
                <w:sz w:val="24"/>
              </w:rPr>
              <w:t>.</w:t>
            </w:r>
            <w:r>
              <w:rPr>
                <w:rFonts w:hint="eastAsia"/>
                <w:sz w:val="24"/>
                <w:lang w:val="en-US" w:eastAsia="zh-CN"/>
              </w:rPr>
              <w:t>10</w:t>
            </w:r>
            <w:r>
              <w:rPr>
                <w:bCs/>
                <w:sz w:val="24"/>
              </w:rPr>
              <w:t>对</w:t>
            </w:r>
            <w:r>
              <w:rPr>
                <w:rFonts w:hint="eastAsia"/>
                <w:bCs/>
                <w:sz w:val="24"/>
                <w:lang w:val="zh-CN"/>
              </w:rPr>
              <w:t>安徽省振兴节能科技有限公司玻璃深加工</w:t>
            </w:r>
            <w:r>
              <w:rPr>
                <w:bCs/>
                <w:sz w:val="24"/>
              </w:rPr>
              <w:t>项目进行竣工环保验收监测，监测期间对企业的生产负荷进行现场核查，核查结果满足环保验收监测对生产工</w:t>
            </w:r>
            <w:r>
              <w:rPr>
                <w:sz w:val="24"/>
              </w:rPr>
              <w:t>况的要求，企业各项污染治理设施运行正常，工况基本稳定</w:t>
            </w:r>
            <w:r>
              <w:rPr>
                <w:kern w:val="0"/>
                <w:sz w:val="24"/>
              </w:rPr>
              <w:t>。通过对该项目废气、废水、噪声进行了验收监测和环境管理检查得出结论如下：</w:t>
            </w:r>
          </w:p>
          <w:p>
            <w:pPr>
              <w:pStyle w:val="9"/>
              <w:spacing w:line="360" w:lineRule="auto"/>
              <w:jc w:val="both"/>
              <w:rPr>
                <w:b/>
                <w:bCs/>
                <w:sz w:val="24"/>
              </w:rPr>
            </w:pPr>
            <w:r>
              <w:rPr>
                <w:rFonts w:hint="eastAsia" w:ascii="Times New Roman" w:hAnsi="Times New Roman"/>
                <w:b/>
                <w:bCs/>
                <w:sz w:val="24"/>
              </w:rPr>
              <w:t>8</w:t>
            </w:r>
            <w:r>
              <w:rPr>
                <w:rFonts w:ascii="Times New Roman" w:hAnsi="Times New Roman"/>
                <w:b/>
                <w:bCs/>
                <w:sz w:val="24"/>
              </w:rPr>
              <w:t>.</w:t>
            </w:r>
            <w:r>
              <w:rPr>
                <w:rFonts w:hint="eastAsia" w:ascii="Times New Roman" w:hAnsi="Times New Roman"/>
                <w:b/>
                <w:bCs/>
                <w:sz w:val="24"/>
              </w:rPr>
              <w:t xml:space="preserve">1 </w:t>
            </w:r>
            <w:r>
              <w:rPr>
                <w:b/>
                <w:bCs/>
                <w:sz w:val="24"/>
              </w:rPr>
              <w:t>噪声监测结论</w:t>
            </w:r>
          </w:p>
          <w:p>
            <w:pPr>
              <w:pStyle w:val="9"/>
              <w:spacing w:line="360" w:lineRule="auto"/>
              <w:ind w:firstLine="480" w:firstLineChars="200"/>
              <w:jc w:val="both"/>
              <w:rPr>
                <w:b/>
                <w:bCs/>
                <w:sz w:val="24"/>
              </w:rPr>
            </w:pPr>
            <w:r>
              <w:rPr>
                <w:rFonts w:hint="eastAsia" w:ascii="Times New Roman" w:hAnsi="Times New Roman"/>
                <w:bCs/>
                <w:sz w:val="24"/>
              </w:rPr>
              <w:t>验收监测结果表明：验收监测期间</w:t>
            </w:r>
            <w:r>
              <w:rPr>
                <w:sz w:val="24"/>
              </w:rPr>
              <w:t>，</w:t>
            </w:r>
            <w:r>
              <w:rPr>
                <w:rFonts w:ascii="Times New Roman" w:hAnsi="Times New Roman"/>
                <w:sz w:val="24"/>
              </w:rPr>
              <w:t>项目厂界</w:t>
            </w:r>
            <w:r>
              <w:rPr>
                <w:rFonts w:hint="eastAsia" w:ascii="Times New Roman" w:hAnsi="Times New Roman"/>
                <w:sz w:val="24"/>
              </w:rPr>
              <w:t>四周满足</w:t>
            </w:r>
            <w:r>
              <w:rPr>
                <w:rFonts w:ascii="Times New Roman" w:hAnsi="Times New Roman"/>
                <w:sz w:val="24"/>
              </w:rPr>
              <w:t>《工业企业厂界环境噪声排放标准》（GB12348-2008）中</w:t>
            </w:r>
            <w:r>
              <w:rPr>
                <w:rFonts w:hint="eastAsia" w:ascii="Times New Roman" w:hAnsi="Times New Roman"/>
                <w:sz w:val="24"/>
              </w:rPr>
              <w:t>3</w:t>
            </w:r>
            <w:r>
              <w:rPr>
                <w:rFonts w:ascii="Times New Roman" w:hAnsi="Times New Roman"/>
                <w:sz w:val="24"/>
              </w:rPr>
              <w:t>类标准</w:t>
            </w:r>
            <w:r>
              <w:rPr>
                <w:rFonts w:hint="eastAsia" w:ascii="Times New Roman" w:hAnsi="Times New Roman"/>
                <w:sz w:val="24"/>
              </w:rPr>
              <w:t>，达标排放，对周边环境影响小。</w:t>
            </w:r>
          </w:p>
          <w:p>
            <w:pPr>
              <w:pStyle w:val="9"/>
              <w:spacing w:line="360" w:lineRule="auto"/>
              <w:jc w:val="both"/>
              <w:rPr>
                <w:rFonts w:ascii="Times New Roman" w:hAnsi="Times New Roman"/>
                <w:b/>
                <w:bCs/>
                <w:sz w:val="24"/>
              </w:rPr>
            </w:pPr>
            <w:r>
              <w:rPr>
                <w:rFonts w:hint="eastAsia" w:ascii="Times New Roman" w:hAnsi="Times New Roman"/>
                <w:b/>
                <w:bCs/>
                <w:sz w:val="24"/>
              </w:rPr>
              <w:t>8.2 有组织废气处理</w:t>
            </w:r>
          </w:p>
          <w:p>
            <w:pPr>
              <w:spacing w:line="360" w:lineRule="auto"/>
              <w:ind w:firstLine="480" w:firstLineChars="200"/>
              <w:rPr>
                <w:bCs/>
                <w:sz w:val="24"/>
              </w:rPr>
            </w:pPr>
            <w:r>
              <w:rPr>
                <w:bCs/>
                <w:sz w:val="24"/>
              </w:rPr>
              <w:t>验收监测结果表明，验收监测期间，</w:t>
            </w:r>
            <w:r>
              <w:rPr>
                <w:rFonts w:hint="eastAsia"/>
                <w:bCs/>
                <w:color w:val="000000"/>
                <w:sz w:val="24"/>
              </w:rPr>
              <w:t>高压釜处理废气、上胶、上密封胶工序</w:t>
            </w:r>
            <w:r>
              <w:rPr>
                <w:bCs/>
                <w:sz w:val="24"/>
              </w:rPr>
              <w:t>过程产生</w:t>
            </w:r>
            <w:r>
              <w:rPr>
                <w:rFonts w:hint="eastAsia"/>
                <w:bCs/>
                <w:sz w:val="24"/>
              </w:rPr>
              <w:t>非甲烷总烃经集气罩收集后通过</w:t>
            </w:r>
            <w:r>
              <w:rPr>
                <w:bCs/>
                <w:sz w:val="24"/>
              </w:rPr>
              <w:t>一套二级活性炭吸附+15m高排气筒</w:t>
            </w:r>
            <w:r>
              <w:rPr>
                <w:rFonts w:hint="eastAsia"/>
                <w:bCs/>
                <w:sz w:val="24"/>
              </w:rPr>
              <w:t>DA001</w:t>
            </w:r>
            <w:r>
              <w:rPr>
                <w:bCs/>
                <w:sz w:val="24"/>
              </w:rPr>
              <w:t>排放，</w:t>
            </w:r>
            <w:r>
              <w:rPr>
                <w:rFonts w:hint="eastAsia"/>
                <w:bCs/>
                <w:color w:val="000000"/>
                <w:sz w:val="24"/>
              </w:rPr>
              <w:t>高压釜处理废气、上胶、上密封胶工序</w:t>
            </w:r>
            <w:r>
              <w:rPr>
                <w:bCs/>
                <w:sz w:val="24"/>
              </w:rPr>
              <w:t>废气处理设施出口的</w:t>
            </w:r>
            <w:r>
              <w:rPr>
                <w:rFonts w:hint="eastAsia"/>
                <w:bCs/>
                <w:sz w:val="24"/>
              </w:rPr>
              <w:t>非甲烷总烃的最大排放浓度5.07</w:t>
            </w:r>
            <w:r>
              <w:rPr>
                <w:bCs/>
                <w:sz w:val="24"/>
              </w:rPr>
              <w:t>mg/m</w:t>
            </w:r>
            <w:r>
              <w:rPr>
                <w:bCs/>
                <w:sz w:val="24"/>
                <w:vertAlign w:val="superscript"/>
              </w:rPr>
              <w:t>3</w:t>
            </w:r>
            <w:r>
              <w:rPr>
                <w:rFonts w:hint="eastAsia"/>
                <w:bCs/>
                <w:sz w:val="24"/>
              </w:rPr>
              <w:t>，最大排放速率为0.116</w:t>
            </w:r>
            <w:r>
              <w:rPr>
                <w:bCs/>
                <w:sz w:val="24"/>
              </w:rPr>
              <w:t>kg/h</w:t>
            </w:r>
            <w:r>
              <w:rPr>
                <w:rFonts w:hint="eastAsia"/>
                <w:bCs/>
                <w:sz w:val="24"/>
              </w:rPr>
              <w:t>，均</w:t>
            </w:r>
            <w:r>
              <w:rPr>
                <w:bCs/>
                <w:sz w:val="24"/>
              </w:rPr>
              <w:t>满足《工业企业挥发性有机物排放控制标准（天津市地方标准）》（DB12/524-20</w:t>
            </w:r>
            <w:r>
              <w:rPr>
                <w:rFonts w:hint="eastAsia"/>
                <w:bCs/>
                <w:sz w:val="24"/>
              </w:rPr>
              <w:t>20</w:t>
            </w:r>
            <w:r>
              <w:rPr>
                <w:bCs/>
                <w:sz w:val="24"/>
              </w:rPr>
              <w:t>）表</w:t>
            </w:r>
            <w:r>
              <w:rPr>
                <w:rFonts w:hint="eastAsia"/>
                <w:bCs/>
                <w:sz w:val="24"/>
              </w:rPr>
              <w:t>1挥发性有机物有组织</w:t>
            </w:r>
            <w:r>
              <w:rPr>
                <w:bCs/>
                <w:sz w:val="24"/>
              </w:rPr>
              <w:t>排放限值。</w:t>
            </w:r>
          </w:p>
          <w:p>
            <w:pPr>
              <w:pStyle w:val="9"/>
              <w:spacing w:line="360" w:lineRule="auto"/>
              <w:jc w:val="both"/>
              <w:rPr>
                <w:rFonts w:ascii="Times New Roman" w:hAnsi="Times New Roman"/>
                <w:b/>
                <w:bCs/>
                <w:sz w:val="24"/>
              </w:rPr>
            </w:pPr>
            <w:r>
              <w:rPr>
                <w:rFonts w:hint="eastAsia" w:ascii="Times New Roman" w:hAnsi="Times New Roman"/>
                <w:b/>
                <w:bCs/>
                <w:sz w:val="24"/>
              </w:rPr>
              <w:t>8</w:t>
            </w:r>
            <w:r>
              <w:rPr>
                <w:rFonts w:ascii="Times New Roman" w:hAnsi="Times New Roman"/>
                <w:b/>
                <w:bCs/>
                <w:sz w:val="24"/>
              </w:rPr>
              <w:t>.</w:t>
            </w:r>
            <w:r>
              <w:rPr>
                <w:rFonts w:hint="eastAsia" w:ascii="Times New Roman" w:hAnsi="Times New Roman"/>
                <w:b/>
                <w:bCs/>
                <w:sz w:val="24"/>
              </w:rPr>
              <w:t xml:space="preserve">3 </w:t>
            </w:r>
            <w:r>
              <w:rPr>
                <w:rFonts w:ascii="Times New Roman" w:hAnsi="Times New Roman"/>
                <w:b/>
                <w:bCs/>
                <w:sz w:val="24"/>
              </w:rPr>
              <w:t>无组织废气监测结论</w:t>
            </w:r>
          </w:p>
          <w:p>
            <w:pPr>
              <w:spacing w:line="360" w:lineRule="auto"/>
              <w:ind w:firstLine="480" w:firstLineChars="200"/>
              <w:rPr>
                <w:sz w:val="24"/>
              </w:rPr>
            </w:pPr>
            <w:r>
              <w:rPr>
                <w:color w:val="000000"/>
                <w:sz w:val="24"/>
              </w:rPr>
              <w:t>对项目厂界废气</w:t>
            </w:r>
            <w:r>
              <w:rPr>
                <w:rFonts w:hint="eastAsia"/>
                <w:color w:val="000000"/>
                <w:sz w:val="24"/>
              </w:rPr>
              <w:t>非甲烷总烃</w:t>
            </w:r>
            <w:r>
              <w:rPr>
                <w:color w:val="000000"/>
                <w:sz w:val="24"/>
              </w:rPr>
              <w:t>无组</w:t>
            </w:r>
            <w:r>
              <w:rPr>
                <w:sz w:val="24"/>
              </w:rPr>
              <w:t>织排放监测的结果表明，</w:t>
            </w:r>
            <w:r>
              <w:rPr>
                <w:rFonts w:hint="eastAsia"/>
                <w:sz w:val="24"/>
              </w:rPr>
              <w:t>非甲烷总烃</w:t>
            </w:r>
            <w:r>
              <w:rPr>
                <w:sz w:val="24"/>
              </w:rPr>
              <w:t>无组织</w:t>
            </w:r>
            <w:r>
              <w:rPr>
                <w:rFonts w:hint="eastAsia"/>
                <w:sz w:val="24"/>
              </w:rPr>
              <w:t>最大排放浓度为1.21</w:t>
            </w:r>
            <w:r>
              <w:rPr>
                <w:szCs w:val="21"/>
              </w:rPr>
              <w:t>mg/m</w:t>
            </w:r>
            <w:r>
              <w:rPr>
                <w:szCs w:val="21"/>
                <w:vertAlign w:val="superscript"/>
              </w:rPr>
              <w:t>3</w:t>
            </w:r>
            <w:r>
              <w:rPr>
                <w:rFonts w:hint="eastAsia"/>
                <w:szCs w:val="21"/>
              </w:rPr>
              <w:t>，</w:t>
            </w:r>
            <w:r>
              <w:rPr>
                <w:rFonts w:hint="eastAsia"/>
                <w:sz w:val="24"/>
              </w:rPr>
              <w:t>均</w:t>
            </w:r>
            <w:r>
              <w:rPr>
                <w:sz w:val="24"/>
              </w:rPr>
              <w:t>满《工业企业挥发性有机物排放控制标准（天津市地方标准）》（DB12/524-20</w:t>
            </w:r>
            <w:r>
              <w:rPr>
                <w:rFonts w:hint="eastAsia"/>
                <w:sz w:val="24"/>
              </w:rPr>
              <w:t>20</w:t>
            </w:r>
            <w:r>
              <w:rPr>
                <w:sz w:val="24"/>
              </w:rPr>
              <w:t>）表</w:t>
            </w:r>
            <w:r>
              <w:rPr>
                <w:rFonts w:hint="eastAsia"/>
                <w:sz w:val="24"/>
              </w:rPr>
              <w:t>2挥发性有机物无组织</w:t>
            </w:r>
            <w:r>
              <w:rPr>
                <w:sz w:val="24"/>
              </w:rPr>
              <w:t>排放限值</w:t>
            </w:r>
            <w:r>
              <w:rPr>
                <w:rFonts w:hint="eastAsia"/>
                <w:sz w:val="24"/>
              </w:rPr>
              <w:t>。</w:t>
            </w:r>
          </w:p>
          <w:p>
            <w:pPr>
              <w:spacing w:line="360" w:lineRule="auto"/>
              <w:ind w:firstLine="480" w:firstLineChars="200"/>
              <w:rPr>
                <w:rFonts w:hint="eastAsia"/>
                <w:sz w:val="24"/>
              </w:rPr>
            </w:pPr>
            <w:r>
              <w:rPr>
                <w:color w:val="000000"/>
                <w:sz w:val="24"/>
              </w:rPr>
              <w:t>对项目</w:t>
            </w:r>
            <w:r>
              <w:rPr>
                <w:rFonts w:hint="eastAsia"/>
                <w:sz w:val="24"/>
              </w:rPr>
              <w:t>挥发性有机废气</w:t>
            </w:r>
            <w:r>
              <w:rPr>
                <w:color w:val="000000"/>
                <w:sz w:val="24"/>
              </w:rPr>
              <w:t>无组</w:t>
            </w:r>
            <w:r>
              <w:rPr>
                <w:sz w:val="24"/>
              </w:rPr>
              <w:t>织排放监测的结果表明，</w:t>
            </w:r>
            <w:r>
              <w:rPr>
                <w:rFonts w:hint="eastAsia"/>
                <w:sz w:val="24"/>
              </w:rPr>
              <w:t>非甲烷总烃</w:t>
            </w:r>
            <w:r>
              <w:rPr>
                <w:sz w:val="24"/>
              </w:rPr>
              <w:t>无组织最大排放浓度为</w:t>
            </w:r>
            <w:r>
              <w:rPr>
                <w:rFonts w:hint="eastAsia"/>
                <w:sz w:val="24"/>
              </w:rPr>
              <w:t>3.11</w:t>
            </w:r>
            <w:r>
              <w:rPr>
                <w:sz w:val="24"/>
              </w:rPr>
              <w:t>mg/m</w:t>
            </w:r>
            <w:r>
              <w:rPr>
                <w:sz w:val="24"/>
                <w:vertAlign w:val="superscript"/>
              </w:rPr>
              <w:t>3</w:t>
            </w:r>
            <w:r>
              <w:rPr>
                <w:sz w:val="24"/>
              </w:rPr>
              <w:t>，</w:t>
            </w:r>
            <w:r>
              <w:rPr>
                <w:bCs/>
                <w:sz w:val="24"/>
              </w:rPr>
              <w:t>满足</w:t>
            </w:r>
            <w:r>
              <w:rPr>
                <w:rFonts w:hint="eastAsia"/>
                <w:sz w:val="24"/>
              </w:rPr>
              <w:t>《挥发性有机物无组织排放控制标准》（GB37822-2019）中</w:t>
            </w:r>
            <w:r>
              <w:rPr>
                <w:color w:val="000000"/>
                <w:sz w:val="24"/>
              </w:rPr>
              <w:t>附录A中规定特别排放限值</w:t>
            </w:r>
            <w:r>
              <w:rPr>
                <w:rFonts w:hint="eastAsia"/>
                <w:sz w:val="24"/>
              </w:rPr>
              <w:t>。</w:t>
            </w:r>
          </w:p>
          <w:p>
            <w:pPr>
              <w:spacing w:line="360" w:lineRule="auto"/>
              <w:ind w:firstLine="480" w:firstLineChars="200"/>
              <w:rPr>
                <w:color w:val="FF0000"/>
              </w:rPr>
            </w:pPr>
            <w:r>
              <w:rPr>
                <w:color w:val="000000"/>
                <w:sz w:val="24"/>
              </w:rPr>
              <w:t>对项目</w:t>
            </w:r>
            <w:r>
              <w:rPr>
                <w:rFonts w:hint="eastAsia"/>
                <w:color w:val="000000"/>
                <w:sz w:val="24"/>
                <w:lang w:eastAsia="zh-CN"/>
              </w:rPr>
              <w:t>食堂油烟</w:t>
            </w:r>
            <w:r>
              <w:rPr>
                <w:sz w:val="24"/>
              </w:rPr>
              <w:t>监测的结果表明，</w:t>
            </w:r>
            <w:r>
              <w:rPr>
                <w:rFonts w:hint="eastAsia"/>
                <w:sz w:val="24"/>
                <w:lang w:eastAsia="zh-CN"/>
              </w:rPr>
              <w:t>食堂油烟的</w:t>
            </w:r>
            <w:r>
              <w:rPr>
                <w:rFonts w:hint="eastAsia"/>
                <w:sz w:val="24"/>
              </w:rPr>
              <w:t>排放浓度</w:t>
            </w:r>
            <w:r>
              <w:rPr>
                <w:rFonts w:hint="eastAsia"/>
                <w:sz w:val="24"/>
                <w:lang w:eastAsia="zh-CN"/>
              </w:rPr>
              <w:t>均值</w:t>
            </w:r>
            <w:r>
              <w:rPr>
                <w:rFonts w:hint="eastAsia"/>
                <w:sz w:val="24"/>
              </w:rPr>
              <w:t>为1</w:t>
            </w:r>
            <w:r>
              <w:rPr>
                <w:rFonts w:hint="eastAsia"/>
                <w:sz w:val="24"/>
                <w:lang w:val="en-US" w:eastAsia="zh-CN"/>
              </w:rPr>
              <w:t>.5</w:t>
            </w:r>
            <w:r>
              <w:rPr>
                <w:szCs w:val="21"/>
              </w:rPr>
              <w:t>mg/m</w:t>
            </w:r>
            <w:r>
              <w:rPr>
                <w:szCs w:val="21"/>
                <w:vertAlign w:val="superscript"/>
              </w:rPr>
              <w:t>3</w:t>
            </w:r>
            <w:r>
              <w:rPr>
                <w:rFonts w:hint="eastAsia"/>
                <w:szCs w:val="21"/>
              </w:rPr>
              <w:t>，</w:t>
            </w:r>
            <w:r>
              <w:rPr>
                <w:rFonts w:hint="eastAsia"/>
                <w:sz w:val="24"/>
              </w:rPr>
              <w:t>均</w:t>
            </w:r>
            <w:r>
              <w:rPr>
                <w:rFonts w:hint="eastAsia"/>
                <w:sz w:val="24"/>
                <w:lang w:eastAsia="zh-CN"/>
              </w:rPr>
              <w:t>满足</w:t>
            </w:r>
            <w:r>
              <w:rPr>
                <w:color w:val="000000"/>
                <w:sz w:val="24"/>
              </w:rPr>
              <w:t>《饮食业油烟排放标准》（GB18483-2001）中</w:t>
            </w:r>
            <w:r>
              <w:rPr>
                <w:rFonts w:hint="eastAsia"/>
                <w:color w:val="000000"/>
                <w:sz w:val="24"/>
              </w:rPr>
              <w:t>的相关</w:t>
            </w:r>
            <w:r>
              <w:rPr>
                <w:color w:val="000000"/>
                <w:sz w:val="24"/>
              </w:rPr>
              <w:t>标准</w:t>
            </w:r>
            <w:r>
              <w:rPr>
                <w:rFonts w:hint="eastAsia"/>
                <w:color w:val="000000"/>
                <w:sz w:val="24"/>
                <w:lang w:eastAsia="zh-CN"/>
              </w:rPr>
              <w:t>。</w:t>
            </w:r>
          </w:p>
          <w:p>
            <w:pPr>
              <w:pStyle w:val="9"/>
              <w:spacing w:line="360" w:lineRule="auto"/>
              <w:jc w:val="both"/>
              <w:rPr>
                <w:rFonts w:ascii="Times New Roman" w:hAnsi="Times New Roman"/>
                <w:b/>
                <w:bCs/>
                <w:sz w:val="24"/>
              </w:rPr>
            </w:pPr>
            <w:r>
              <w:rPr>
                <w:rFonts w:hint="eastAsia" w:ascii="Times New Roman" w:hAnsi="Times New Roman"/>
                <w:b/>
                <w:bCs/>
                <w:sz w:val="24"/>
              </w:rPr>
              <w:t>8</w:t>
            </w:r>
            <w:r>
              <w:rPr>
                <w:rFonts w:ascii="Times New Roman" w:hAnsi="Times New Roman"/>
                <w:b/>
                <w:bCs/>
                <w:sz w:val="24"/>
              </w:rPr>
              <w:t>.</w:t>
            </w:r>
            <w:r>
              <w:rPr>
                <w:rFonts w:hint="eastAsia" w:ascii="Times New Roman" w:hAnsi="Times New Roman"/>
                <w:b/>
                <w:bCs/>
                <w:sz w:val="24"/>
              </w:rPr>
              <w:t>4 废水</w:t>
            </w:r>
            <w:r>
              <w:rPr>
                <w:rFonts w:ascii="Times New Roman" w:hAnsi="Times New Roman"/>
                <w:b/>
                <w:bCs/>
                <w:sz w:val="24"/>
              </w:rPr>
              <w:t>监测结论</w:t>
            </w:r>
          </w:p>
          <w:p>
            <w:pPr>
              <w:spacing w:line="360" w:lineRule="auto"/>
              <w:ind w:firstLine="480" w:firstLineChars="200"/>
              <w:rPr>
                <w:sz w:val="24"/>
              </w:rPr>
            </w:pPr>
            <w:r>
              <w:rPr>
                <w:bCs/>
                <w:sz w:val="24"/>
              </w:rPr>
              <w:t>验收监测结果表明：</w:t>
            </w:r>
            <w:r>
              <w:rPr>
                <w:sz w:val="24"/>
              </w:rPr>
              <w:t>项目总排口出水水质稳定，各项因子</w:t>
            </w:r>
            <w:r>
              <w:rPr>
                <w:rFonts w:hint="eastAsia"/>
                <w:sz w:val="24"/>
              </w:rPr>
              <w:t>pH、</w:t>
            </w:r>
            <w:r>
              <w:rPr>
                <w:sz w:val="24"/>
              </w:rPr>
              <w:t>COD、BOD</w:t>
            </w:r>
            <w:r>
              <w:rPr>
                <w:sz w:val="24"/>
                <w:vertAlign w:val="subscript"/>
              </w:rPr>
              <w:t>5</w:t>
            </w:r>
            <w:r>
              <w:rPr>
                <w:sz w:val="24"/>
              </w:rPr>
              <w:t>、氨氮和SS日均值监测指标符合本次验收采用的</w:t>
            </w:r>
            <w:r>
              <w:rPr>
                <w:rFonts w:hint="eastAsia"/>
                <w:sz w:val="24"/>
              </w:rPr>
              <w:t>联熹</w:t>
            </w:r>
            <w:r>
              <w:rPr>
                <w:sz w:val="24"/>
              </w:rPr>
              <w:t>污水处理厂</w:t>
            </w:r>
            <w:r>
              <w:rPr>
                <w:sz w:val="24"/>
                <w:szCs w:val="18"/>
              </w:rPr>
              <w:t>接管标准要求</w:t>
            </w:r>
            <w:r>
              <w:rPr>
                <w:rFonts w:hint="eastAsia"/>
                <w:sz w:val="24"/>
              </w:rPr>
              <w:t>，达标后排入</w:t>
            </w:r>
            <w:r>
              <w:rPr>
                <w:rFonts w:hint="eastAsia"/>
                <w:color w:val="auto"/>
                <w:sz w:val="24"/>
                <w:lang w:eastAsia="zh-CN"/>
              </w:rPr>
              <w:t>店埠</w:t>
            </w:r>
            <w:r>
              <w:rPr>
                <w:rFonts w:hint="eastAsia"/>
                <w:color w:val="auto"/>
                <w:sz w:val="24"/>
              </w:rPr>
              <w:t>河</w:t>
            </w:r>
            <w:r>
              <w:rPr>
                <w:rFonts w:hint="eastAsia"/>
                <w:sz w:val="24"/>
              </w:rPr>
              <w:t>。</w:t>
            </w:r>
          </w:p>
          <w:p>
            <w:pPr>
              <w:pStyle w:val="10"/>
              <w:spacing w:after="0" w:line="460" w:lineRule="exact"/>
              <w:ind w:left="0" w:leftChars="0"/>
              <w:rPr>
                <w:b/>
                <w:bCs/>
                <w:sz w:val="24"/>
              </w:rPr>
            </w:pPr>
            <w:r>
              <w:rPr>
                <w:rFonts w:hint="eastAsia"/>
                <w:b/>
                <w:bCs/>
                <w:sz w:val="24"/>
              </w:rPr>
              <w:t>8.5</w:t>
            </w:r>
            <w:r>
              <w:rPr>
                <w:b/>
                <w:bCs/>
                <w:sz w:val="24"/>
              </w:rPr>
              <w:t>固体废物</w:t>
            </w:r>
          </w:p>
          <w:p>
            <w:pPr>
              <w:autoSpaceDE w:val="0"/>
              <w:autoSpaceDN w:val="0"/>
              <w:adjustRightInd w:val="0"/>
              <w:spacing w:line="460" w:lineRule="exact"/>
              <w:ind w:firstLine="480" w:firstLineChars="200"/>
              <w:rPr>
                <w:sz w:val="24"/>
              </w:rPr>
            </w:pPr>
            <w:r>
              <w:rPr>
                <w:rFonts w:hAnsi="宋体"/>
                <w:sz w:val="24"/>
              </w:rPr>
              <w:t>本项目</w:t>
            </w:r>
            <w:r>
              <w:rPr>
                <w:rFonts w:hint="eastAsia" w:hAnsi="宋体"/>
                <w:sz w:val="24"/>
              </w:rPr>
              <w:t>营运期产生的固体废弃物主要为</w:t>
            </w:r>
            <w:r>
              <w:rPr>
                <w:rFonts w:hint="eastAsia"/>
                <w:bCs/>
                <w:sz w:val="24"/>
              </w:rPr>
              <w:t>废玻璃、边角料及</w:t>
            </w:r>
            <w:r>
              <w:rPr>
                <w:rFonts w:hint="eastAsia"/>
                <w:bCs/>
                <w:sz w:val="24"/>
                <w:lang w:eastAsia="zh-CN"/>
              </w:rPr>
              <w:t>水净化处理产生的污泥</w:t>
            </w:r>
            <w:r>
              <w:rPr>
                <w:rFonts w:hint="eastAsia"/>
                <w:sz w:val="24"/>
              </w:rPr>
              <w:t>、职工生活产生的生活垃圾、废活性炭、废胶桶等。</w:t>
            </w:r>
          </w:p>
          <w:p>
            <w:pPr>
              <w:autoSpaceDE w:val="0"/>
              <w:autoSpaceDN w:val="0"/>
              <w:adjustRightInd w:val="0"/>
              <w:spacing w:line="460" w:lineRule="exact"/>
              <w:ind w:firstLine="480" w:firstLineChars="200"/>
              <w:rPr>
                <w:sz w:val="24"/>
              </w:rPr>
            </w:pPr>
            <w:r>
              <w:rPr>
                <w:rFonts w:hint="eastAsia"/>
                <w:sz w:val="24"/>
              </w:rPr>
              <w:t>职工生活垃圾委托环卫部门处置；废玻璃、边角料由玻璃生产厂家回收再利用；</w:t>
            </w:r>
            <w:r>
              <w:rPr>
                <w:rFonts w:hint="eastAsia"/>
                <w:sz w:val="24"/>
                <w:lang w:eastAsia="zh-CN"/>
              </w:rPr>
              <w:t>水净化设备产生的污泥</w:t>
            </w:r>
            <w:r>
              <w:rPr>
                <w:rFonts w:hint="eastAsia"/>
                <w:sz w:val="24"/>
              </w:rPr>
              <w:t>及废包装物外售；废活性炭、废胶桶</w:t>
            </w:r>
            <w:r>
              <w:rPr>
                <w:sz w:val="24"/>
              </w:rPr>
              <w:t>分类收集后暂存于危废暂存间，交由</w:t>
            </w:r>
            <w:r>
              <w:rPr>
                <w:rFonts w:hint="eastAsia"/>
                <w:sz w:val="24"/>
              </w:rPr>
              <w:t>安徽上峰杰夏环保科技有限责任公司</w:t>
            </w:r>
            <w:r>
              <w:rPr>
                <w:sz w:val="24"/>
              </w:rPr>
              <w:t>处置</w:t>
            </w:r>
            <w:r>
              <w:rPr>
                <w:rFonts w:hint="eastAsia"/>
                <w:sz w:val="24"/>
              </w:rPr>
              <w:t>。</w:t>
            </w:r>
          </w:p>
          <w:p>
            <w:pPr>
              <w:spacing w:line="360" w:lineRule="auto"/>
              <w:ind w:firstLine="480" w:firstLineChars="200"/>
              <w:rPr>
                <w:bCs/>
                <w:color w:val="000000"/>
                <w:sz w:val="24"/>
              </w:rPr>
            </w:pPr>
            <w:r>
              <w:rPr>
                <w:bCs/>
                <w:color w:val="000000"/>
                <w:sz w:val="24"/>
              </w:rPr>
              <w:t>通过采取以上措施，建设项目各项固体废物均能得到有效处置，处置方案可行，经过以上处置措施后可达到零排放,不会产生二次污染。</w:t>
            </w:r>
          </w:p>
          <w:p>
            <w:pPr>
              <w:pStyle w:val="9"/>
              <w:spacing w:line="360" w:lineRule="auto"/>
              <w:ind w:firstLine="480" w:firstLineChars="200"/>
              <w:jc w:val="both"/>
              <w:rPr>
                <w:bCs/>
                <w:sz w:val="24"/>
              </w:rPr>
            </w:pPr>
            <w:r>
              <w:rPr>
                <w:rFonts w:hint="eastAsia"/>
                <w:bCs/>
                <w:sz w:val="24"/>
              </w:rPr>
              <w:t>因此，本项目固废均得到妥善处理，实现不外排。</w:t>
            </w:r>
          </w:p>
          <w:p>
            <w:pPr>
              <w:snapToGrid w:val="0"/>
              <w:spacing w:line="360" w:lineRule="auto"/>
              <w:rPr>
                <w:b/>
                <w:sz w:val="24"/>
              </w:rPr>
            </w:pPr>
            <w:r>
              <w:rPr>
                <w:rFonts w:hint="eastAsia"/>
                <w:b/>
                <w:sz w:val="24"/>
              </w:rPr>
              <w:t>8</w:t>
            </w:r>
            <w:r>
              <w:rPr>
                <w:b/>
                <w:sz w:val="24"/>
              </w:rPr>
              <w:t>.</w:t>
            </w:r>
            <w:r>
              <w:rPr>
                <w:rFonts w:hint="eastAsia"/>
                <w:b/>
                <w:sz w:val="24"/>
              </w:rPr>
              <w:t>6总量控制</w:t>
            </w:r>
          </w:p>
          <w:p>
            <w:pPr>
              <w:spacing w:line="360" w:lineRule="auto"/>
              <w:ind w:firstLine="480" w:firstLineChars="200"/>
              <w:rPr>
                <w:bCs/>
                <w:color w:val="000000"/>
                <w:sz w:val="24"/>
              </w:rPr>
            </w:pPr>
            <w:r>
              <w:rPr>
                <w:bCs/>
                <w:color w:val="000000"/>
                <w:sz w:val="24"/>
              </w:rPr>
              <w:t>本项目</w:t>
            </w:r>
            <w:r>
              <w:rPr>
                <w:rFonts w:hint="eastAsia"/>
                <w:bCs/>
                <w:color w:val="000000"/>
                <w:sz w:val="24"/>
              </w:rPr>
              <w:t>环评未申请污染物总量，根据实际验收监测情况，</w:t>
            </w:r>
            <w:r>
              <w:rPr>
                <w:bCs/>
                <w:color w:val="000000"/>
                <w:sz w:val="24"/>
              </w:rPr>
              <w:t>废气总量为非甲烷总烃：</w:t>
            </w:r>
            <w:r>
              <w:rPr>
                <w:rFonts w:hint="eastAsia"/>
                <w:bCs/>
                <w:color w:val="000000"/>
                <w:sz w:val="24"/>
              </w:rPr>
              <w:t>0.164</w:t>
            </w:r>
            <w:r>
              <w:rPr>
                <w:bCs/>
                <w:color w:val="000000"/>
                <w:sz w:val="24"/>
              </w:rPr>
              <w:t>t/a</w:t>
            </w:r>
            <w:r>
              <w:rPr>
                <w:rFonts w:hint="eastAsia"/>
                <w:bCs/>
                <w:color w:val="000000"/>
                <w:sz w:val="24"/>
              </w:rPr>
              <w:t>。</w:t>
            </w:r>
          </w:p>
          <w:p>
            <w:pPr>
              <w:snapToGrid w:val="0"/>
              <w:spacing w:line="360" w:lineRule="auto"/>
              <w:rPr>
                <w:rFonts w:hint="eastAsia"/>
                <w:b/>
                <w:color w:val="auto"/>
                <w:sz w:val="24"/>
              </w:rPr>
            </w:pPr>
            <w:r>
              <w:rPr>
                <w:rFonts w:hint="eastAsia"/>
                <w:b/>
                <w:color w:val="auto"/>
                <w:sz w:val="24"/>
              </w:rPr>
              <w:t>8</w:t>
            </w:r>
            <w:r>
              <w:rPr>
                <w:b/>
                <w:color w:val="auto"/>
                <w:sz w:val="24"/>
              </w:rPr>
              <w:t>.</w:t>
            </w:r>
            <w:r>
              <w:rPr>
                <w:rFonts w:hint="eastAsia"/>
                <w:b/>
                <w:color w:val="auto"/>
                <w:sz w:val="24"/>
              </w:rPr>
              <w:t>7工程变动情况</w:t>
            </w:r>
          </w:p>
          <w:p>
            <w:pPr>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根据现场勘查，本项目实际生产与环评有两点不同。</w:t>
            </w:r>
          </w:p>
          <w:p>
            <w:pPr>
              <w:numPr>
                <w:ilvl w:val="0"/>
                <w:numId w:val="1"/>
              </w:numPr>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项目环评玻璃清洗废水和磨边废水经沉淀池处理后循环使用，实际运营过程中，玻璃清洗废水和磨边废水经水净化设施处理后循环使用，不外排，污染物未增加。</w:t>
            </w:r>
          </w:p>
          <w:p>
            <w:pPr>
              <w:numPr>
                <w:ilvl w:val="0"/>
                <w:numId w:val="1"/>
              </w:numPr>
              <w:snapToGrid w:val="0"/>
              <w:spacing w:line="360" w:lineRule="auto"/>
              <w:ind w:left="0" w:leftChars="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环评中全自动中空生产线有4条，实际生产过程中全自动中空生产线有3条；环评中全自动四边磨边线为1条，实际生产过程中无全自动四边磨边线，磨边功能通过全自动高速磨边线代替。</w:t>
            </w:r>
          </w:p>
          <w:p>
            <w:pPr>
              <w:numPr>
                <w:ilvl w:val="0"/>
                <w:numId w:val="0"/>
              </w:numPr>
              <w:snapToGrid w:val="0"/>
              <w:spacing w:line="360" w:lineRule="auto"/>
              <w:ind w:firstLine="480" w:firstLineChars="200"/>
              <w:rPr>
                <w:color w:val="auto"/>
                <w:sz w:val="24"/>
              </w:rPr>
            </w:pPr>
            <w:r>
              <w:rPr>
                <w:rFonts w:hint="default" w:ascii="Times New Roman" w:hAnsi="Times New Roman" w:cs="Times New Roman"/>
                <w:color w:val="auto"/>
                <w:sz w:val="24"/>
                <w:lang w:val="en-US" w:eastAsia="zh-CN"/>
              </w:rPr>
              <w:t>以上变动</w:t>
            </w:r>
            <w:r>
              <w:rPr>
                <w:rFonts w:hint="eastAsia" w:ascii="Times New Roman" w:hAnsi="Times New Roman" w:cs="Times New Roman"/>
                <w:color w:val="auto"/>
                <w:sz w:val="24"/>
                <w:lang w:val="en-US" w:eastAsia="zh-CN"/>
              </w:rPr>
              <w:t>产污环节未增加，且对照《关于印发环评管理中部分行业建设项目重大变动清单的通知》以上均不属于重大变动，故本项目对照环评建设无重大变动。</w:t>
            </w:r>
            <w:r>
              <w:rPr>
                <w:rFonts w:hint="eastAsia"/>
                <w:color w:val="auto"/>
                <w:sz w:val="24"/>
              </w:rPr>
              <w:t>综上所述，公司履行了相应的建设项目环境保护“三同时”制度，手续完备，污染物达标排放，满足验收条件。</w:t>
            </w:r>
          </w:p>
          <w:p>
            <w:pPr>
              <w:snapToGrid w:val="0"/>
              <w:spacing w:line="360" w:lineRule="auto"/>
              <w:rPr>
                <w:b/>
                <w:sz w:val="24"/>
              </w:rPr>
            </w:pPr>
            <w:r>
              <w:rPr>
                <w:rFonts w:hint="eastAsia"/>
                <w:b/>
                <w:sz w:val="24"/>
              </w:rPr>
              <w:t>8</w:t>
            </w:r>
            <w:r>
              <w:rPr>
                <w:b/>
                <w:sz w:val="24"/>
              </w:rPr>
              <w:t>.</w:t>
            </w:r>
            <w:r>
              <w:rPr>
                <w:rFonts w:hint="eastAsia"/>
                <w:b/>
                <w:sz w:val="24"/>
              </w:rPr>
              <w:t xml:space="preserve">8 </w:t>
            </w:r>
            <w:r>
              <w:rPr>
                <w:b/>
                <w:sz w:val="24"/>
              </w:rPr>
              <w:t>建议</w:t>
            </w:r>
          </w:p>
          <w:p>
            <w:pPr>
              <w:spacing w:line="360" w:lineRule="auto"/>
              <w:ind w:firstLine="480" w:firstLineChars="200"/>
              <w:rPr>
                <w:color w:val="000000"/>
                <w:sz w:val="24"/>
              </w:rPr>
            </w:pPr>
            <w:r>
              <w:rPr>
                <w:color w:val="000000"/>
                <w:sz w:val="24"/>
              </w:rPr>
              <w:t>1、加强生产和环保管理，保证各项污染物长期稳定达标排放，避免污染事故的发生。</w:t>
            </w:r>
          </w:p>
          <w:p>
            <w:pPr>
              <w:spacing w:line="360" w:lineRule="auto"/>
              <w:ind w:firstLine="480" w:firstLineChars="200"/>
              <w:rPr>
                <w:color w:val="FF0000"/>
                <w:sz w:val="24"/>
              </w:rPr>
            </w:pPr>
            <w:r>
              <w:rPr>
                <w:color w:val="000000"/>
                <w:sz w:val="24"/>
              </w:rPr>
              <w:t>2、积极做好生产固废的回收暂存工作和转运工作，生活垃圾做到日产日清。</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0" w:beforeLines="0" w:after="0" w:afterLines="0" w:line="240" w:lineRule="auto"/>
        <w:rPr>
          <w:sz w:val="32"/>
          <w:szCs w:val="32"/>
        </w:rPr>
      </w:pPr>
      <w:r>
        <w:rPr>
          <w:sz w:val="32"/>
          <w:szCs w:val="32"/>
        </w:rPr>
        <w:t>建设项目环境保护“三同时”竣工验收登记表</w:t>
      </w:r>
    </w:p>
    <w:p>
      <w:pPr>
        <w:rPr>
          <w:color w:val="FF0000"/>
        </w:rPr>
      </w:pPr>
      <w:r>
        <w:rPr>
          <w:kern w:val="0"/>
          <w:sz w:val="18"/>
          <w:szCs w:val="18"/>
        </w:rPr>
        <w:t>填表单位（盖章）：</w:t>
      </w:r>
      <w:r>
        <w:rPr>
          <w:rFonts w:hint="eastAsia"/>
          <w:kern w:val="0"/>
          <w:sz w:val="18"/>
          <w:szCs w:val="18"/>
        </w:rPr>
        <w:t>安徽省振兴节能科技有限公司</w:t>
      </w:r>
      <w:r>
        <w:rPr>
          <w:sz w:val="18"/>
          <w:szCs w:val="18"/>
        </w:rPr>
        <w:t xml:space="preserve"> </w:t>
      </w:r>
      <w:r>
        <w:rPr>
          <w:kern w:val="0"/>
          <w:sz w:val="18"/>
          <w:szCs w:val="18"/>
        </w:rPr>
        <w:t xml:space="preserve"> </w:t>
      </w:r>
      <w:r>
        <w:rPr>
          <w:color w:val="FF0000"/>
          <w:kern w:val="0"/>
          <w:sz w:val="18"/>
          <w:szCs w:val="18"/>
        </w:rPr>
        <w:t xml:space="preserve"> </w:t>
      </w:r>
      <w:r>
        <w:rPr>
          <w:color w:val="FF0000"/>
          <w:sz w:val="18"/>
          <w:szCs w:val="18"/>
        </w:rPr>
        <w:t xml:space="preserve">                         </w:t>
      </w:r>
      <w:r>
        <w:rPr>
          <w:kern w:val="0"/>
          <w:sz w:val="18"/>
          <w:szCs w:val="18"/>
        </w:rPr>
        <w:t>填表人：</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项目经办人：</w:t>
      </w:r>
    </w:p>
    <w:tbl>
      <w:tblPr>
        <w:tblStyle w:val="23"/>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653"/>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kern w:val="0"/>
                <w:sz w:val="18"/>
                <w:szCs w:val="18"/>
              </w:rPr>
            </w:pPr>
            <w:r>
              <w:rPr>
                <w:kern w:val="0"/>
                <w:sz w:val="18"/>
                <w:szCs w:val="18"/>
              </w:rPr>
              <w:t>建 设 项 目</w:t>
            </w:r>
          </w:p>
        </w:tc>
        <w:tc>
          <w:tcPr>
            <w:tcW w:w="1499" w:type="dxa"/>
            <w:gridSpan w:val="3"/>
            <w:vAlign w:val="center"/>
          </w:tcPr>
          <w:p>
            <w:pPr>
              <w:widowControl/>
              <w:jc w:val="center"/>
              <w:rPr>
                <w:kern w:val="0"/>
                <w:sz w:val="18"/>
                <w:szCs w:val="18"/>
              </w:rPr>
            </w:pPr>
            <w:r>
              <w:rPr>
                <w:kern w:val="0"/>
                <w:sz w:val="18"/>
                <w:szCs w:val="18"/>
              </w:rPr>
              <w:t>项目名称</w:t>
            </w:r>
          </w:p>
        </w:tc>
        <w:tc>
          <w:tcPr>
            <w:tcW w:w="4998" w:type="dxa"/>
            <w:gridSpan w:val="12"/>
            <w:vAlign w:val="center"/>
          </w:tcPr>
          <w:p>
            <w:pPr>
              <w:jc w:val="center"/>
              <w:rPr>
                <w:kern w:val="0"/>
                <w:sz w:val="18"/>
                <w:szCs w:val="18"/>
              </w:rPr>
            </w:pPr>
            <w:r>
              <w:rPr>
                <w:rFonts w:hint="eastAsia"/>
                <w:kern w:val="0"/>
                <w:sz w:val="18"/>
                <w:szCs w:val="18"/>
              </w:rPr>
              <w:t>玻璃深加工</w:t>
            </w:r>
            <w:r>
              <w:rPr>
                <w:kern w:val="0"/>
                <w:sz w:val="18"/>
                <w:szCs w:val="18"/>
              </w:rPr>
              <w:t>项目</w:t>
            </w:r>
          </w:p>
        </w:tc>
        <w:tc>
          <w:tcPr>
            <w:tcW w:w="1986" w:type="dxa"/>
            <w:gridSpan w:val="4"/>
            <w:vAlign w:val="center"/>
          </w:tcPr>
          <w:p>
            <w:pPr>
              <w:jc w:val="center"/>
              <w:rPr>
                <w:kern w:val="0"/>
                <w:sz w:val="18"/>
                <w:szCs w:val="18"/>
              </w:rPr>
            </w:pPr>
            <w:r>
              <w:rPr>
                <w:rFonts w:hint="eastAsia"/>
                <w:kern w:val="0"/>
                <w:sz w:val="18"/>
                <w:szCs w:val="18"/>
              </w:rPr>
              <w:t>建设地点</w:t>
            </w:r>
          </w:p>
        </w:tc>
        <w:tc>
          <w:tcPr>
            <w:tcW w:w="4808" w:type="dxa"/>
            <w:gridSpan w:val="14"/>
            <w:vAlign w:val="center"/>
          </w:tcPr>
          <w:p>
            <w:pPr>
              <w:jc w:val="center"/>
              <w:rPr>
                <w:kern w:val="0"/>
                <w:sz w:val="18"/>
                <w:szCs w:val="18"/>
              </w:rPr>
            </w:pPr>
            <w:r>
              <w:rPr>
                <w:kern w:val="0"/>
                <w:sz w:val="18"/>
                <w:szCs w:val="18"/>
              </w:rPr>
              <w:t>安徽省</w:t>
            </w:r>
            <w:r>
              <w:rPr>
                <w:rFonts w:hint="eastAsia"/>
                <w:kern w:val="0"/>
                <w:sz w:val="18"/>
                <w:szCs w:val="18"/>
              </w:rPr>
              <w:t>合肥循环经济示范园龙兴大道与乳泉路交口东南侧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行业类别</w:t>
            </w:r>
          </w:p>
        </w:tc>
        <w:tc>
          <w:tcPr>
            <w:tcW w:w="4998" w:type="dxa"/>
            <w:gridSpan w:val="12"/>
            <w:vAlign w:val="center"/>
          </w:tcPr>
          <w:p>
            <w:pPr>
              <w:widowControl/>
              <w:jc w:val="center"/>
              <w:rPr>
                <w:color w:val="FF0000"/>
                <w:kern w:val="0"/>
                <w:sz w:val="18"/>
                <w:szCs w:val="18"/>
              </w:rPr>
            </w:pPr>
            <w:r>
              <w:rPr>
                <w:rFonts w:hint="eastAsia"/>
                <w:kern w:val="0"/>
                <w:sz w:val="18"/>
                <w:szCs w:val="18"/>
              </w:rPr>
              <w:t>C3051技术玻璃制品制造</w:t>
            </w:r>
          </w:p>
        </w:tc>
        <w:tc>
          <w:tcPr>
            <w:tcW w:w="1986" w:type="dxa"/>
            <w:gridSpan w:val="4"/>
            <w:vAlign w:val="center"/>
          </w:tcPr>
          <w:p>
            <w:pPr>
              <w:widowControl/>
              <w:jc w:val="center"/>
              <w:rPr>
                <w:kern w:val="0"/>
                <w:sz w:val="18"/>
                <w:szCs w:val="18"/>
              </w:rPr>
            </w:pPr>
            <w:r>
              <w:rPr>
                <w:kern w:val="0"/>
                <w:sz w:val="18"/>
                <w:szCs w:val="18"/>
              </w:rPr>
              <w:t>建设性质</w:t>
            </w:r>
          </w:p>
        </w:tc>
        <w:tc>
          <w:tcPr>
            <w:tcW w:w="4808" w:type="dxa"/>
            <w:gridSpan w:val="14"/>
            <w:vAlign w:val="center"/>
          </w:tcPr>
          <w:p>
            <w:pPr>
              <w:jc w:val="center"/>
              <w:rPr>
                <w:kern w:val="0"/>
                <w:sz w:val="18"/>
                <w:szCs w:val="18"/>
              </w:rPr>
            </w:pPr>
            <w:r>
              <w:rPr>
                <w:rFonts w:hint="eastAsia"/>
                <w:kern w:val="0"/>
                <w:sz w:val="18"/>
                <w:szCs w:val="18"/>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设计生产能力</w:t>
            </w:r>
          </w:p>
        </w:tc>
        <w:tc>
          <w:tcPr>
            <w:tcW w:w="3037" w:type="dxa"/>
            <w:gridSpan w:val="8"/>
            <w:vAlign w:val="center"/>
          </w:tcPr>
          <w:p>
            <w:pPr>
              <w:widowControl/>
              <w:jc w:val="center"/>
              <w:rPr>
                <w:kern w:val="0"/>
                <w:sz w:val="18"/>
                <w:szCs w:val="18"/>
              </w:rPr>
            </w:pPr>
            <w:r>
              <w:rPr>
                <w:rFonts w:hint="eastAsia"/>
                <w:kern w:val="0"/>
                <w:sz w:val="18"/>
                <w:szCs w:val="18"/>
              </w:rPr>
              <w:t>年加工153.75万平方米节能安全玻璃</w:t>
            </w:r>
          </w:p>
        </w:tc>
        <w:tc>
          <w:tcPr>
            <w:tcW w:w="1961" w:type="dxa"/>
            <w:gridSpan w:val="4"/>
            <w:vAlign w:val="center"/>
          </w:tcPr>
          <w:p>
            <w:pPr>
              <w:widowControl/>
              <w:jc w:val="center"/>
              <w:rPr>
                <w:kern w:val="0"/>
                <w:sz w:val="18"/>
                <w:szCs w:val="18"/>
              </w:rPr>
            </w:pPr>
            <w:r>
              <w:rPr>
                <w:rFonts w:hint="eastAsia"/>
                <w:kern w:val="0"/>
                <w:sz w:val="18"/>
                <w:szCs w:val="18"/>
              </w:rPr>
              <w:t>实际生产能力</w:t>
            </w:r>
          </w:p>
        </w:tc>
        <w:tc>
          <w:tcPr>
            <w:tcW w:w="2965" w:type="dxa"/>
            <w:gridSpan w:val="8"/>
            <w:vAlign w:val="center"/>
          </w:tcPr>
          <w:p>
            <w:pPr>
              <w:widowControl/>
              <w:jc w:val="center"/>
              <w:rPr>
                <w:kern w:val="0"/>
                <w:sz w:val="18"/>
                <w:szCs w:val="18"/>
              </w:rPr>
            </w:pPr>
            <w:r>
              <w:rPr>
                <w:rFonts w:hint="eastAsia"/>
                <w:kern w:val="0"/>
                <w:sz w:val="18"/>
                <w:szCs w:val="18"/>
              </w:rPr>
              <w:t>年加工153.75万平方米节能安全玻璃</w:t>
            </w:r>
          </w:p>
        </w:tc>
        <w:tc>
          <w:tcPr>
            <w:tcW w:w="872" w:type="dxa"/>
            <w:gridSpan w:val="3"/>
            <w:vAlign w:val="center"/>
          </w:tcPr>
          <w:p>
            <w:pPr>
              <w:widowControl/>
              <w:jc w:val="center"/>
              <w:rPr>
                <w:kern w:val="0"/>
                <w:sz w:val="18"/>
                <w:szCs w:val="18"/>
              </w:rPr>
            </w:pPr>
            <w:r>
              <w:rPr>
                <w:kern w:val="0"/>
                <w:sz w:val="18"/>
                <w:szCs w:val="18"/>
              </w:rPr>
              <w:t>环评单位</w:t>
            </w:r>
          </w:p>
        </w:tc>
        <w:tc>
          <w:tcPr>
            <w:tcW w:w="2957" w:type="dxa"/>
            <w:gridSpan w:val="7"/>
            <w:vAlign w:val="center"/>
          </w:tcPr>
          <w:p>
            <w:pPr>
              <w:widowControl/>
              <w:jc w:val="center"/>
              <w:rPr>
                <w:kern w:val="0"/>
                <w:sz w:val="18"/>
                <w:szCs w:val="18"/>
              </w:rPr>
            </w:pPr>
            <w:r>
              <w:rPr>
                <w:rFonts w:hint="eastAsia"/>
                <w:kern w:val="0"/>
                <w:sz w:val="18"/>
                <w:szCs w:val="18"/>
              </w:rPr>
              <w:t>安徽启晨环境科技有限公司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7"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环评审批机关</w:t>
            </w:r>
          </w:p>
        </w:tc>
        <w:tc>
          <w:tcPr>
            <w:tcW w:w="3037" w:type="dxa"/>
            <w:gridSpan w:val="8"/>
            <w:vAlign w:val="center"/>
          </w:tcPr>
          <w:p>
            <w:pPr>
              <w:widowControl/>
              <w:jc w:val="center"/>
              <w:rPr>
                <w:kern w:val="0"/>
                <w:sz w:val="18"/>
                <w:szCs w:val="18"/>
              </w:rPr>
            </w:pPr>
            <w:r>
              <w:rPr>
                <w:rFonts w:hint="eastAsia"/>
                <w:sz w:val="18"/>
              </w:rPr>
              <w:t>肥东县环境保护局</w:t>
            </w:r>
          </w:p>
        </w:tc>
        <w:tc>
          <w:tcPr>
            <w:tcW w:w="1961" w:type="dxa"/>
            <w:gridSpan w:val="4"/>
            <w:vAlign w:val="center"/>
          </w:tcPr>
          <w:p>
            <w:pPr>
              <w:widowControl/>
              <w:jc w:val="center"/>
              <w:rPr>
                <w:kern w:val="0"/>
                <w:sz w:val="18"/>
                <w:szCs w:val="18"/>
              </w:rPr>
            </w:pPr>
            <w:r>
              <w:rPr>
                <w:kern w:val="0"/>
                <w:sz w:val="18"/>
                <w:szCs w:val="18"/>
              </w:rPr>
              <w:t>审批文号</w:t>
            </w:r>
          </w:p>
        </w:tc>
        <w:tc>
          <w:tcPr>
            <w:tcW w:w="2965" w:type="dxa"/>
            <w:gridSpan w:val="8"/>
            <w:vAlign w:val="center"/>
          </w:tcPr>
          <w:p>
            <w:pPr>
              <w:widowControl/>
              <w:jc w:val="center"/>
              <w:rPr>
                <w:color w:val="FF0000"/>
                <w:kern w:val="0"/>
                <w:sz w:val="18"/>
                <w:szCs w:val="18"/>
              </w:rPr>
            </w:pPr>
            <w:r>
              <w:rPr>
                <w:rFonts w:hint="eastAsia"/>
                <w:kern w:val="0"/>
                <w:sz w:val="18"/>
                <w:szCs w:val="18"/>
              </w:rPr>
              <w:t>东环建审【2020】199号</w:t>
            </w:r>
          </w:p>
        </w:tc>
        <w:tc>
          <w:tcPr>
            <w:tcW w:w="1911" w:type="dxa"/>
            <w:gridSpan w:val="6"/>
            <w:vAlign w:val="center"/>
          </w:tcPr>
          <w:p>
            <w:pPr>
              <w:widowControl/>
              <w:jc w:val="center"/>
              <w:rPr>
                <w:kern w:val="0"/>
                <w:sz w:val="18"/>
                <w:szCs w:val="18"/>
              </w:rPr>
            </w:pPr>
            <w:r>
              <w:rPr>
                <w:kern w:val="0"/>
                <w:sz w:val="18"/>
                <w:szCs w:val="18"/>
              </w:rPr>
              <w:t>环评文件类型</w:t>
            </w:r>
          </w:p>
        </w:tc>
        <w:tc>
          <w:tcPr>
            <w:tcW w:w="1918" w:type="dxa"/>
            <w:gridSpan w:val="4"/>
            <w:vAlign w:val="center"/>
          </w:tcPr>
          <w:p>
            <w:pPr>
              <w:widowControl/>
              <w:jc w:val="center"/>
              <w:rPr>
                <w:kern w:val="0"/>
                <w:sz w:val="18"/>
                <w:szCs w:val="18"/>
              </w:rPr>
            </w:pPr>
            <w:r>
              <w:rPr>
                <w:kern w:val="0"/>
                <w:sz w:val="18"/>
                <w:szCs w:val="18"/>
              </w:rPr>
              <w:t>环境影响报告</w:t>
            </w:r>
            <w:r>
              <w:rPr>
                <w:rFonts w:hint="eastAsia"/>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开工日期</w:t>
            </w:r>
          </w:p>
        </w:tc>
        <w:tc>
          <w:tcPr>
            <w:tcW w:w="3037" w:type="dxa"/>
            <w:gridSpan w:val="8"/>
            <w:vAlign w:val="center"/>
          </w:tcPr>
          <w:p>
            <w:pPr>
              <w:widowControl/>
              <w:jc w:val="center"/>
              <w:rPr>
                <w:b/>
                <w:bCs/>
                <w:kern w:val="0"/>
                <w:sz w:val="18"/>
                <w:szCs w:val="18"/>
              </w:rPr>
            </w:pPr>
            <w:r>
              <w:rPr>
                <w:rFonts w:hint="eastAsia"/>
                <w:kern w:val="0"/>
                <w:sz w:val="18"/>
                <w:szCs w:val="18"/>
              </w:rPr>
              <w:t>2020.12</w:t>
            </w:r>
          </w:p>
        </w:tc>
        <w:tc>
          <w:tcPr>
            <w:tcW w:w="1961" w:type="dxa"/>
            <w:gridSpan w:val="4"/>
            <w:vAlign w:val="center"/>
          </w:tcPr>
          <w:p>
            <w:pPr>
              <w:widowControl/>
              <w:jc w:val="center"/>
              <w:rPr>
                <w:kern w:val="0"/>
                <w:sz w:val="18"/>
                <w:szCs w:val="18"/>
              </w:rPr>
            </w:pPr>
            <w:r>
              <w:rPr>
                <w:kern w:val="0"/>
                <w:sz w:val="18"/>
                <w:szCs w:val="18"/>
              </w:rPr>
              <w:t>竣工日期</w:t>
            </w:r>
          </w:p>
        </w:tc>
        <w:tc>
          <w:tcPr>
            <w:tcW w:w="2965" w:type="dxa"/>
            <w:gridSpan w:val="8"/>
            <w:vAlign w:val="center"/>
          </w:tcPr>
          <w:p>
            <w:pPr>
              <w:widowControl/>
              <w:jc w:val="center"/>
              <w:rPr>
                <w:kern w:val="0"/>
                <w:sz w:val="18"/>
                <w:szCs w:val="18"/>
              </w:rPr>
            </w:pPr>
            <w:r>
              <w:rPr>
                <w:rFonts w:hint="eastAsia"/>
                <w:kern w:val="0"/>
                <w:sz w:val="18"/>
                <w:szCs w:val="18"/>
              </w:rPr>
              <w:t>2021.12</w:t>
            </w:r>
          </w:p>
        </w:tc>
        <w:tc>
          <w:tcPr>
            <w:tcW w:w="1911" w:type="dxa"/>
            <w:gridSpan w:val="6"/>
            <w:vAlign w:val="center"/>
          </w:tcPr>
          <w:p>
            <w:pPr>
              <w:widowControl/>
              <w:jc w:val="center"/>
              <w:rPr>
                <w:kern w:val="0"/>
                <w:sz w:val="18"/>
                <w:szCs w:val="18"/>
              </w:rPr>
            </w:pPr>
            <w:r>
              <w:rPr>
                <w:kern w:val="0"/>
                <w:sz w:val="18"/>
                <w:szCs w:val="18"/>
              </w:rPr>
              <w:t>排污许可证申领时间</w:t>
            </w:r>
          </w:p>
        </w:tc>
        <w:tc>
          <w:tcPr>
            <w:tcW w:w="1918" w:type="dxa"/>
            <w:gridSpan w:val="4"/>
            <w:vAlign w:val="center"/>
          </w:tcPr>
          <w:p>
            <w:pPr>
              <w:widowControl/>
              <w:jc w:val="center"/>
              <w:rPr>
                <w:rFonts w:hint="default" w:eastAsia="宋体"/>
                <w:kern w:val="0"/>
                <w:sz w:val="18"/>
                <w:szCs w:val="18"/>
                <w:lang w:val="en-US" w:eastAsia="zh-CN"/>
              </w:rPr>
            </w:pPr>
            <w:r>
              <w:rPr>
                <w:rFonts w:hint="eastAsia"/>
                <w:kern w:val="0"/>
                <w:sz w:val="18"/>
                <w:szCs w:val="18"/>
                <w:lang w:val="en-US" w:eastAsia="zh-CN"/>
              </w:rPr>
              <w:t>2022.3.15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环保设施设计单位</w:t>
            </w:r>
          </w:p>
        </w:tc>
        <w:tc>
          <w:tcPr>
            <w:tcW w:w="3037" w:type="dxa"/>
            <w:gridSpan w:val="8"/>
            <w:vAlign w:val="center"/>
          </w:tcPr>
          <w:p>
            <w:pPr>
              <w:widowControl/>
              <w:jc w:val="center"/>
              <w:rPr>
                <w:color w:val="FF0000"/>
                <w:sz w:val="18"/>
              </w:rPr>
            </w:pPr>
            <w:r>
              <w:rPr>
                <w:rFonts w:hint="eastAsia"/>
                <w:kern w:val="0"/>
                <w:sz w:val="18"/>
                <w:szCs w:val="18"/>
              </w:rPr>
              <w:t>安徽启晨环境科技有限公司</w:t>
            </w:r>
          </w:p>
        </w:tc>
        <w:tc>
          <w:tcPr>
            <w:tcW w:w="1961" w:type="dxa"/>
            <w:gridSpan w:val="4"/>
            <w:vAlign w:val="center"/>
          </w:tcPr>
          <w:p>
            <w:pPr>
              <w:widowControl/>
              <w:jc w:val="center"/>
              <w:rPr>
                <w:sz w:val="18"/>
              </w:rPr>
            </w:pPr>
            <w:r>
              <w:rPr>
                <w:rFonts w:hint="eastAsia"/>
                <w:sz w:val="18"/>
              </w:rPr>
              <w:t>环保设施施工单位</w:t>
            </w:r>
          </w:p>
        </w:tc>
        <w:tc>
          <w:tcPr>
            <w:tcW w:w="2965" w:type="dxa"/>
            <w:gridSpan w:val="8"/>
            <w:vAlign w:val="center"/>
          </w:tcPr>
          <w:p>
            <w:pPr>
              <w:widowControl/>
              <w:jc w:val="center"/>
              <w:rPr>
                <w:kern w:val="0"/>
                <w:sz w:val="18"/>
                <w:szCs w:val="18"/>
              </w:rPr>
            </w:pPr>
            <w:r>
              <w:rPr>
                <w:rFonts w:hint="eastAsia"/>
                <w:kern w:val="0"/>
                <w:sz w:val="18"/>
                <w:szCs w:val="18"/>
              </w:rPr>
              <w:t>安徽启晨环境科技有限公司</w:t>
            </w:r>
          </w:p>
        </w:tc>
        <w:tc>
          <w:tcPr>
            <w:tcW w:w="1911" w:type="dxa"/>
            <w:gridSpan w:val="6"/>
            <w:vAlign w:val="center"/>
          </w:tcPr>
          <w:p>
            <w:pPr>
              <w:widowControl/>
              <w:jc w:val="center"/>
              <w:rPr>
                <w:kern w:val="0"/>
                <w:sz w:val="18"/>
                <w:szCs w:val="18"/>
              </w:rPr>
            </w:pPr>
            <w:r>
              <w:rPr>
                <w:rFonts w:hint="eastAsia"/>
                <w:kern w:val="0"/>
                <w:sz w:val="18"/>
                <w:szCs w:val="18"/>
              </w:rPr>
              <w:t>本工程排污许可证编号</w:t>
            </w:r>
          </w:p>
        </w:tc>
        <w:tc>
          <w:tcPr>
            <w:tcW w:w="1918" w:type="dxa"/>
            <w:gridSpan w:val="4"/>
            <w:vAlign w:val="center"/>
          </w:tcPr>
          <w:p>
            <w:pPr>
              <w:widowControl/>
              <w:jc w:val="center"/>
              <w:rPr>
                <w:rFonts w:hint="default" w:eastAsia="宋体"/>
                <w:kern w:val="0"/>
                <w:sz w:val="18"/>
                <w:szCs w:val="18"/>
                <w:lang w:val="en-US" w:eastAsia="zh-CN"/>
              </w:rPr>
            </w:pPr>
            <w:r>
              <w:rPr>
                <w:rFonts w:hint="eastAsia"/>
                <w:kern w:val="0"/>
                <w:sz w:val="18"/>
                <w:szCs w:val="18"/>
              </w:rPr>
              <w:t>91340122MA2W0BL2XX</w:t>
            </w:r>
            <w:r>
              <w:rPr>
                <w:rFonts w:hint="eastAsia"/>
                <w:kern w:val="0"/>
                <w:sz w:val="18"/>
                <w:szCs w:val="18"/>
                <w:lang w:val="en-US" w:eastAsia="zh-CN"/>
              </w:rPr>
              <w:t>001W</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验收单位</w:t>
            </w:r>
          </w:p>
        </w:tc>
        <w:tc>
          <w:tcPr>
            <w:tcW w:w="3037" w:type="dxa"/>
            <w:gridSpan w:val="8"/>
            <w:vAlign w:val="center"/>
          </w:tcPr>
          <w:p>
            <w:pPr>
              <w:widowControl/>
              <w:jc w:val="center"/>
              <w:rPr>
                <w:kern w:val="0"/>
                <w:sz w:val="18"/>
                <w:szCs w:val="18"/>
              </w:rPr>
            </w:pPr>
            <w:r>
              <w:rPr>
                <w:rFonts w:hint="eastAsia"/>
                <w:kern w:val="0"/>
                <w:sz w:val="18"/>
                <w:szCs w:val="18"/>
              </w:rPr>
              <w:t>安徽省振兴节能科技有限公司</w:t>
            </w:r>
            <w:r>
              <w:rPr>
                <w:sz w:val="18"/>
                <w:szCs w:val="18"/>
              </w:rPr>
              <w:t xml:space="preserve">  </w:t>
            </w:r>
          </w:p>
        </w:tc>
        <w:tc>
          <w:tcPr>
            <w:tcW w:w="1961" w:type="dxa"/>
            <w:gridSpan w:val="4"/>
            <w:vAlign w:val="center"/>
          </w:tcPr>
          <w:p>
            <w:pPr>
              <w:widowControl/>
              <w:rPr>
                <w:kern w:val="0"/>
                <w:sz w:val="18"/>
                <w:szCs w:val="18"/>
              </w:rPr>
            </w:pPr>
            <w:r>
              <w:rPr>
                <w:kern w:val="0"/>
                <w:sz w:val="18"/>
                <w:szCs w:val="18"/>
              </w:rPr>
              <w:t>环保设施监测单位</w:t>
            </w:r>
          </w:p>
        </w:tc>
        <w:tc>
          <w:tcPr>
            <w:tcW w:w="2965" w:type="dxa"/>
            <w:gridSpan w:val="8"/>
            <w:vAlign w:val="center"/>
          </w:tcPr>
          <w:p>
            <w:pPr>
              <w:widowControl/>
              <w:jc w:val="center"/>
              <w:rPr>
                <w:kern w:val="0"/>
                <w:sz w:val="18"/>
                <w:szCs w:val="18"/>
              </w:rPr>
            </w:pPr>
            <w:r>
              <w:rPr>
                <w:rFonts w:hint="eastAsia"/>
                <w:sz w:val="18"/>
              </w:rPr>
              <w:t>安徽尚德谱检测技术有限责任公司</w:t>
            </w:r>
            <w:r>
              <w:rPr>
                <w:kern w:val="0"/>
                <w:sz w:val="18"/>
                <w:szCs w:val="18"/>
              </w:rPr>
              <w:t xml:space="preserve"> </w:t>
            </w:r>
          </w:p>
        </w:tc>
        <w:tc>
          <w:tcPr>
            <w:tcW w:w="1911" w:type="dxa"/>
            <w:gridSpan w:val="6"/>
            <w:vAlign w:val="center"/>
          </w:tcPr>
          <w:p>
            <w:pPr>
              <w:widowControl/>
              <w:jc w:val="center"/>
              <w:rPr>
                <w:kern w:val="0"/>
                <w:sz w:val="18"/>
                <w:szCs w:val="18"/>
              </w:rPr>
            </w:pPr>
            <w:r>
              <w:rPr>
                <w:kern w:val="0"/>
                <w:sz w:val="18"/>
                <w:szCs w:val="18"/>
              </w:rPr>
              <w:t>验收监测时工况</w:t>
            </w:r>
          </w:p>
        </w:tc>
        <w:tc>
          <w:tcPr>
            <w:tcW w:w="1918" w:type="dxa"/>
            <w:gridSpan w:val="4"/>
            <w:vAlign w:val="center"/>
          </w:tcPr>
          <w:p>
            <w:pPr>
              <w:widowControl/>
              <w:jc w:val="center"/>
              <w:rPr>
                <w:kern w:val="0"/>
                <w:sz w:val="18"/>
                <w:szCs w:val="18"/>
              </w:rPr>
            </w:pPr>
            <w:r>
              <w:rPr>
                <w:rFonts w:hint="eastAsia"/>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8"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投资总概算（万元）</w:t>
            </w:r>
          </w:p>
        </w:tc>
        <w:tc>
          <w:tcPr>
            <w:tcW w:w="3037" w:type="dxa"/>
            <w:gridSpan w:val="8"/>
            <w:vAlign w:val="center"/>
          </w:tcPr>
          <w:p>
            <w:pPr>
              <w:widowControl/>
              <w:jc w:val="center"/>
              <w:rPr>
                <w:kern w:val="0"/>
                <w:sz w:val="18"/>
                <w:szCs w:val="18"/>
              </w:rPr>
            </w:pPr>
            <w:r>
              <w:rPr>
                <w:rFonts w:hint="eastAsia"/>
                <w:kern w:val="0"/>
                <w:sz w:val="18"/>
                <w:szCs w:val="18"/>
              </w:rPr>
              <w:t>28038.97</w:t>
            </w:r>
          </w:p>
        </w:tc>
        <w:tc>
          <w:tcPr>
            <w:tcW w:w="1961" w:type="dxa"/>
            <w:gridSpan w:val="4"/>
            <w:vAlign w:val="center"/>
          </w:tcPr>
          <w:p>
            <w:pPr>
              <w:widowControl/>
              <w:rPr>
                <w:kern w:val="0"/>
                <w:sz w:val="18"/>
                <w:szCs w:val="18"/>
              </w:rPr>
            </w:pPr>
            <w:r>
              <w:rPr>
                <w:kern w:val="0"/>
                <w:sz w:val="18"/>
                <w:szCs w:val="18"/>
              </w:rPr>
              <w:t>环保投资总概算（万元）</w:t>
            </w:r>
          </w:p>
        </w:tc>
        <w:tc>
          <w:tcPr>
            <w:tcW w:w="2965" w:type="dxa"/>
            <w:gridSpan w:val="8"/>
            <w:vAlign w:val="center"/>
          </w:tcPr>
          <w:p>
            <w:pPr>
              <w:widowControl/>
              <w:jc w:val="center"/>
              <w:rPr>
                <w:kern w:val="0"/>
                <w:sz w:val="18"/>
                <w:szCs w:val="18"/>
              </w:rPr>
            </w:pPr>
            <w:r>
              <w:rPr>
                <w:rFonts w:hint="eastAsia"/>
                <w:kern w:val="0"/>
                <w:sz w:val="18"/>
                <w:szCs w:val="18"/>
              </w:rPr>
              <w:t>40</w:t>
            </w:r>
          </w:p>
        </w:tc>
        <w:tc>
          <w:tcPr>
            <w:tcW w:w="1911" w:type="dxa"/>
            <w:gridSpan w:val="6"/>
            <w:vAlign w:val="center"/>
          </w:tcPr>
          <w:p>
            <w:pPr>
              <w:widowControl/>
              <w:jc w:val="center"/>
              <w:rPr>
                <w:kern w:val="0"/>
                <w:sz w:val="18"/>
                <w:szCs w:val="18"/>
              </w:rPr>
            </w:pPr>
            <w:r>
              <w:rPr>
                <w:kern w:val="0"/>
                <w:sz w:val="18"/>
                <w:szCs w:val="18"/>
              </w:rPr>
              <w:t>所占比例（%）</w:t>
            </w:r>
          </w:p>
        </w:tc>
        <w:tc>
          <w:tcPr>
            <w:tcW w:w="1918" w:type="dxa"/>
            <w:gridSpan w:val="4"/>
            <w:vAlign w:val="center"/>
          </w:tcPr>
          <w:p>
            <w:pPr>
              <w:widowControl/>
              <w:jc w:val="center"/>
              <w:rPr>
                <w:kern w:val="0"/>
                <w:sz w:val="18"/>
                <w:szCs w:val="18"/>
              </w:rPr>
            </w:pPr>
            <w:r>
              <w:rPr>
                <w:rFonts w:hint="eastAsia"/>
                <w:kern w:val="0"/>
                <w:sz w:val="18"/>
                <w:szCs w:val="18"/>
              </w:rPr>
              <w:t>0.14%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实际总投资（万元）</w:t>
            </w:r>
          </w:p>
        </w:tc>
        <w:tc>
          <w:tcPr>
            <w:tcW w:w="3037" w:type="dxa"/>
            <w:gridSpan w:val="8"/>
            <w:vAlign w:val="center"/>
          </w:tcPr>
          <w:p>
            <w:pPr>
              <w:widowControl/>
              <w:jc w:val="center"/>
              <w:rPr>
                <w:kern w:val="0"/>
                <w:sz w:val="18"/>
                <w:szCs w:val="18"/>
              </w:rPr>
            </w:pPr>
            <w:r>
              <w:rPr>
                <w:rFonts w:hint="eastAsia"/>
                <w:kern w:val="0"/>
                <w:sz w:val="18"/>
                <w:szCs w:val="18"/>
              </w:rPr>
              <w:t>14000</w:t>
            </w:r>
          </w:p>
        </w:tc>
        <w:tc>
          <w:tcPr>
            <w:tcW w:w="1961" w:type="dxa"/>
            <w:gridSpan w:val="4"/>
            <w:vAlign w:val="center"/>
          </w:tcPr>
          <w:p>
            <w:pPr>
              <w:widowControl/>
              <w:rPr>
                <w:kern w:val="0"/>
                <w:sz w:val="18"/>
                <w:szCs w:val="18"/>
              </w:rPr>
            </w:pPr>
            <w:r>
              <w:rPr>
                <w:kern w:val="0"/>
                <w:sz w:val="18"/>
                <w:szCs w:val="18"/>
              </w:rPr>
              <w:t>实际环保投资（万元）</w:t>
            </w:r>
          </w:p>
        </w:tc>
        <w:tc>
          <w:tcPr>
            <w:tcW w:w="2965" w:type="dxa"/>
            <w:gridSpan w:val="8"/>
            <w:vAlign w:val="center"/>
          </w:tcPr>
          <w:p>
            <w:pPr>
              <w:widowControl/>
              <w:jc w:val="center"/>
              <w:rPr>
                <w:kern w:val="0"/>
                <w:sz w:val="18"/>
                <w:szCs w:val="18"/>
              </w:rPr>
            </w:pPr>
            <w:r>
              <w:rPr>
                <w:rFonts w:hint="eastAsia"/>
                <w:kern w:val="0"/>
                <w:sz w:val="18"/>
                <w:szCs w:val="18"/>
              </w:rPr>
              <w:t>60</w:t>
            </w:r>
          </w:p>
        </w:tc>
        <w:tc>
          <w:tcPr>
            <w:tcW w:w="1911" w:type="dxa"/>
            <w:gridSpan w:val="6"/>
            <w:vAlign w:val="center"/>
          </w:tcPr>
          <w:p>
            <w:pPr>
              <w:widowControl/>
              <w:jc w:val="center"/>
              <w:rPr>
                <w:kern w:val="0"/>
                <w:sz w:val="18"/>
                <w:szCs w:val="18"/>
              </w:rPr>
            </w:pPr>
            <w:r>
              <w:rPr>
                <w:kern w:val="0"/>
                <w:sz w:val="18"/>
                <w:szCs w:val="18"/>
              </w:rPr>
              <w:t>所占比例（%）</w:t>
            </w:r>
          </w:p>
        </w:tc>
        <w:tc>
          <w:tcPr>
            <w:tcW w:w="1918" w:type="dxa"/>
            <w:gridSpan w:val="4"/>
            <w:vAlign w:val="center"/>
          </w:tcPr>
          <w:p>
            <w:pPr>
              <w:widowControl/>
              <w:jc w:val="center"/>
              <w:rPr>
                <w:kern w:val="0"/>
                <w:sz w:val="18"/>
                <w:szCs w:val="18"/>
              </w:rPr>
            </w:pPr>
            <w:r>
              <w:rPr>
                <w:rFonts w:hint="eastAsia"/>
                <w:kern w:val="0"/>
                <w:sz w:val="18"/>
                <w:szCs w:val="18"/>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废水治理（万元）</w:t>
            </w:r>
          </w:p>
        </w:tc>
        <w:tc>
          <w:tcPr>
            <w:tcW w:w="694" w:type="dxa"/>
            <w:gridSpan w:val="2"/>
            <w:vAlign w:val="center"/>
          </w:tcPr>
          <w:p>
            <w:pPr>
              <w:widowControl/>
              <w:jc w:val="center"/>
              <w:rPr>
                <w:kern w:val="0"/>
                <w:sz w:val="18"/>
                <w:szCs w:val="18"/>
              </w:rPr>
            </w:pPr>
            <w:r>
              <w:rPr>
                <w:rFonts w:hint="eastAsia"/>
                <w:kern w:val="0"/>
                <w:sz w:val="18"/>
                <w:szCs w:val="18"/>
              </w:rPr>
              <w:t>30</w:t>
            </w:r>
          </w:p>
        </w:tc>
        <w:tc>
          <w:tcPr>
            <w:tcW w:w="1399" w:type="dxa"/>
            <w:gridSpan w:val="3"/>
            <w:vAlign w:val="center"/>
          </w:tcPr>
          <w:p>
            <w:pPr>
              <w:widowControl/>
              <w:jc w:val="center"/>
              <w:rPr>
                <w:kern w:val="0"/>
                <w:sz w:val="18"/>
                <w:szCs w:val="18"/>
              </w:rPr>
            </w:pPr>
            <w:r>
              <w:rPr>
                <w:kern w:val="0"/>
                <w:sz w:val="18"/>
                <w:szCs w:val="18"/>
              </w:rPr>
              <w:t>废气治理（万元）</w:t>
            </w:r>
          </w:p>
        </w:tc>
        <w:tc>
          <w:tcPr>
            <w:tcW w:w="832" w:type="dxa"/>
            <w:gridSpan w:val="2"/>
            <w:vAlign w:val="center"/>
          </w:tcPr>
          <w:p>
            <w:pPr>
              <w:widowControl/>
              <w:jc w:val="center"/>
              <w:rPr>
                <w:kern w:val="0"/>
                <w:sz w:val="18"/>
                <w:szCs w:val="18"/>
              </w:rPr>
            </w:pPr>
            <w:r>
              <w:rPr>
                <w:rFonts w:hint="eastAsia"/>
                <w:kern w:val="0"/>
                <w:sz w:val="18"/>
                <w:szCs w:val="18"/>
              </w:rPr>
              <w:t>20</w:t>
            </w:r>
          </w:p>
        </w:tc>
        <w:tc>
          <w:tcPr>
            <w:tcW w:w="1464" w:type="dxa"/>
            <w:gridSpan w:val="4"/>
            <w:vAlign w:val="center"/>
          </w:tcPr>
          <w:p>
            <w:pPr>
              <w:widowControl/>
              <w:jc w:val="center"/>
              <w:rPr>
                <w:kern w:val="0"/>
                <w:sz w:val="18"/>
                <w:szCs w:val="18"/>
              </w:rPr>
            </w:pPr>
            <w:r>
              <w:rPr>
                <w:kern w:val="0"/>
                <w:sz w:val="18"/>
                <w:szCs w:val="18"/>
              </w:rPr>
              <w:t>噪声治理（万元）</w:t>
            </w:r>
          </w:p>
        </w:tc>
        <w:tc>
          <w:tcPr>
            <w:tcW w:w="609" w:type="dxa"/>
            <w:vAlign w:val="center"/>
          </w:tcPr>
          <w:p>
            <w:pPr>
              <w:widowControl/>
              <w:jc w:val="center"/>
              <w:rPr>
                <w:kern w:val="0"/>
                <w:sz w:val="18"/>
                <w:szCs w:val="18"/>
              </w:rPr>
            </w:pPr>
            <w:r>
              <w:rPr>
                <w:rFonts w:hint="eastAsia"/>
                <w:kern w:val="0"/>
                <w:sz w:val="18"/>
                <w:szCs w:val="18"/>
              </w:rPr>
              <w:t>5</w:t>
            </w:r>
          </w:p>
        </w:tc>
        <w:tc>
          <w:tcPr>
            <w:tcW w:w="1986" w:type="dxa"/>
            <w:gridSpan w:val="4"/>
            <w:vAlign w:val="center"/>
          </w:tcPr>
          <w:p>
            <w:pPr>
              <w:widowControl/>
              <w:jc w:val="center"/>
              <w:rPr>
                <w:kern w:val="0"/>
                <w:sz w:val="18"/>
                <w:szCs w:val="18"/>
              </w:rPr>
            </w:pPr>
            <w:r>
              <w:rPr>
                <w:kern w:val="0"/>
                <w:sz w:val="18"/>
                <w:szCs w:val="18"/>
              </w:rPr>
              <w:t>固体废物治理（万元）</w:t>
            </w:r>
          </w:p>
        </w:tc>
        <w:tc>
          <w:tcPr>
            <w:tcW w:w="676" w:type="dxa"/>
            <w:gridSpan w:val="2"/>
            <w:vAlign w:val="center"/>
          </w:tcPr>
          <w:p>
            <w:pPr>
              <w:widowControl/>
              <w:jc w:val="center"/>
              <w:rPr>
                <w:kern w:val="0"/>
                <w:sz w:val="18"/>
                <w:szCs w:val="18"/>
              </w:rPr>
            </w:pPr>
            <w:r>
              <w:rPr>
                <w:rFonts w:hint="eastAsia"/>
                <w:kern w:val="0"/>
                <w:sz w:val="18"/>
                <w:szCs w:val="18"/>
              </w:rPr>
              <w:t>5</w:t>
            </w:r>
          </w:p>
        </w:tc>
        <w:tc>
          <w:tcPr>
            <w:tcW w:w="1502" w:type="dxa"/>
            <w:gridSpan w:val="7"/>
            <w:vAlign w:val="center"/>
          </w:tcPr>
          <w:p>
            <w:pPr>
              <w:widowControl/>
              <w:jc w:val="center"/>
              <w:rPr>
                <w:kern w:val="0"/>
                <w:sz w:val="18"/>
                <w:szCs w:val="18"/>
              </w:rPr>
            </w:pPr>
            <w:r>
              <w:rPr>
                <w:kern w:val="0"/>
                <w:sz w:val="18"/>
                <w:szCs w:val="18"/>
              </w:rPr>
              <w:t>绿化及生态（万元）</w:t>
            </w:r>
          </w:p>
        </w:tc>
        <w:tc>
          <w:tcPr>
            <w:tcW w:w="712" w:type="dxa"/>
            <w:vAlign w:val="center"/>
          </w:tcPr>
          <w:p>
            <w:pPr>
              <w:widowControl/>
              <w:jc w:val="center"/>
              <w:rPr>
                <w:kern w:val="0"/>
                <w:sz w:val="18"/>
                <w:szCs w:val="18"/>
              </w:rPr>
            </w:pPr>
            <w:r>
              <w:rPr>
                <w:rFonts w:hint="eastAsia"/>
                <w:kern w:val="0"/>
                <w:sz w:val="18"/>
                <w:szCs w:val="18"/>
              </w:rPr>
              <w:t>0</w:t>
            </w:r>
          </w:p>
        </w:tc>
        <w:tc>
          <w:tcPr>
            <w:tcW w:w="1007" w:type="dxa"/>
            <w:gridSpan w:val="3"/>
            <w:vAlign w:val="center"/>
          </w:tcPr>
          <w:p>
            <w:pPr>
              <w:widowControl/>
              <w:jc w:val="center"/>
              <w:rPr>
                <w:kern w:val="0"/>
                <w:sz w:val="18"/>
                <w:szCs w:val="18"/>
              </w:rPr>
            </w:pPr>
            <w:r>
              <w:rPr>
                <w:kern w:val="0"/>
                <w:sz w:val="18"/>
                <w:szCs w:val="18"/>
              </w:rPr>
              <w:t>其它（万元）</w:t>
            </w:r>
          </w:p>
        </w:tc>
        <w:tc>
          <w:tcPr>
            <w:tcW w:w="911" w:type="dxa"/>
            <w:vAlign w:val="center"/>
          </w:tcPr>
          <w:p>
            <w:pPr>
              <w:widowControl/>
              <w:jc w:val="center"/>
              <w:rPr>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2193" w:type="dxa"/>
            <w:gridSpan w:val="5"/>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新增废水处理设施能力</w:t>
            </w:r>
          </w:p>
        </w:tc>
        <w:tc>
          <w:tcPr>
            <w:tcW w:w="2231" w:type="dxa"/>
            <w:gridSpan w:val="5"/>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w:t>
            </w:r>
          </w:p>
        </w:tc>
        <w:tc>
          <w:tcPr>
            <w:tcW w:w="3011" w:type="dxa"/>
            <w:gridSpan w:val="7"/>
            <w:vAlign w:val="center"/>
          </w:tcPr>
          <w:p>
            <w:pPr>
              <w:widowControl/>
              <w:jc w:val="center"/>
              <w:rPr>
                <w:kern w:val="0"/>
                <w:sz w:val="18"/>
                <w:szCs w:val="18"/>
              </w:rPr>
            </w:pPr>
            <w:r>
              <w:rPr>
                <w:kern w:val="0"/>
                <w:sz w:val="18"/>
                <w:szCs w:val="18"/>
              </w:rPr>
              <w:t>新增废气处理设施能力（Nm</w:t>
            </w:r>
            <w:r>
              <w:rPr>
                <w:kern w:val="0"/>
                <w:sz w:val="18"/>
                <w:szCs w:val="18"/>
                <w:vertAlign w:val="superscript"/>
              </w:rPr>
              <w:t>3</w:t>
            </w:r>
            <w:r>
              <w:rPr>
                <w:kern w:val="0"/>
                <w:sz w:val="18"/>
                <w:szCs w:val="18"/>
              </w:rPr>
              <w:t>/h）</w:t>
            </w:r>
          </w:p>
        </w:tc>
        <w:tc>
          <w:tcPr>
            <w:tcW w:w="2426" w:type="dxa"/>
            <w:gridSpan w:val="7"/>
            <w:vAlign w:val="center"/>
          </w:tcPr>
          <w:p>
            <w:pPr>
              <w:widowControl/>
              <w:jc w:val="center"/>
              <w:rPr>
                <w:kern w:val="0"/>
                <w:sz w:val="18"/>
                <w:szCs w:val="18"/>
              </w:rPr>
            </w:pPr>
            <w:r>
              <w:rPr>
                <w:rFonts w:hint="eastAsia"/>
                <w:kern w:val="0"/>
                <w:sz w:val="18"/>
                <w:szCs w:val="18"/>
              </w:rPr>
              <w:t>/</w:t>
            </w:r>
          </w:p>
        </w:tc>
        <w:tc>
          <w:tcPr>
            <w:tcW w:w="1700" w:type="dxa"/>
            <w:gridSpan w:val="6"/>
            <w:vAlign w:val="center"/>
          </w:tcPr>
          <w:p>
            <w:pPr>
              <w:widowControl/>
              <w:rPr>
                <w:kern w:val="0"/>
                <w:sz w:val="18"/>
                <w:szCs w:val="18"/>
              </w:rPr>
            </w:pPr>
            <w:r>
              <w:rPr>
                <w:kern w:val="0"/>
                <w:sz w:val="18"/>
                <w:szCs w:val="18"/>
              </w:rPr>
              <w:t>年平均工作日（h/a）</w:t>
            </w:r>
          </w:p>
        </w:tc>
        <w:tc>
          <w:tcPr>
            <w:tcW w:w="1730" w:type="dxa"/>
            <w:gridSpan w:val="3"/>
            <w:vAlign w:val="center"/>
          </w:tcPr>
          <w:p>
            <w:pPr>
              <w:widowControl/>
              <w:jc w:val="center"/>
              <w:rPr>
                <w:kern w:val="0"/>
                <w:sz w:val="18"/>
                <w:szCs w:val="18"/>
              </w:rPr>
            </w:pPr>
            <w:r>
              <w:rPr>
                <w:rFonts w:hint="eastAsia"/>
                <w:kern w:val="0"/>
                <w:sz w:val="18"/>
                <w:szCs w:val="18"/>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kern w:val="0"/>
                <w:sz w:val="18"/>
                <w:szCs w:val="18"/>
              </w:rPr>
            </w:pPr>
            <w:r>
              <w:rPr>
                <w:kern w:val="0"/>
                <w:sz w:val="18"/>
                <w:szCs w:val="18"/>
              </w:rPr>
              <w:t>运营单位</w:t>
            </w:r>
          </w:p>
        </w:tc>
        <w:tc>
          <w:tcPr>
            <w:tcW w:w="2936" w:type="dxa"/>
            <w:gridSpan w:val="6"/>
            <w:vAlign w:val="center"/>
          </w:tcPr>
          <w:p>
            <w:pPr>
              <w:widowControl/>
              <w:jc w:val="center"/>
              <w:rPr>
                <w:color w:val="000000" w:themeColor="text1"/>
                <w:kern w:val="0"/>
                <w:sz w:val="18"/>
                <w:szCs w:val="18"/>
                <w14:textFill>
                  <w14:solidFill>
                    <w14:schemeClr w14:val="tx1"/>
                  </w14:solidFill>
                </w14:textFill>
              </w:rPr>
            </w:pPr>
            <w:r>
              <w:rPr>
                <w:rFonts w:hint="eastAsia"/>
                <w:kern w:val="0"/>
                <w:sz w:val="18"/>
                <w:szCs w:val="18"/>
              </w:rPr>
              <w:t>安徽省振兴节能科技有限公司</w:t>
            </w:r>
            <w:r>
              <w:rPr>
                <w:sz w:val="18"/>
                <w:szCs w:val="18"/>
              </w:rPr>
              <w:t xml:space="preserve"> </w:t>
            </w:r>
            <w:r>
              <w:rPr>
                <w:color w:val="000000" w:themeColor="text1"/>
                <w:sz w:val="18"/>
                <w:szCs w:val="18"/>
                <w14:textFill>
                  <w14:solidFill>
                    <w14:schemeClr w14:val="tx1"/>
                  </w14:solidFill>
                </w14:textFill>
              </w:rPr>
              <w:t xml:space="preserve"> </w:t>
            </w:r>
          </w:p>
        </w:tc>
        <w:tc>
          <w:tcPr>
            <w:tcW w:w="3705" w:type="dxa"/>
            <w:gridSpan w:val="9"/>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运营单位社会统一信用代码（或组织机构代码）</w:t>
            </w:r>
          </w:p>
        </w:tc>
        <w:tc>
          <w:tcPr>
            <w:tcW w:w="2477" w:type="dxa"/>
            <w:gridSpan w:val="6"/>
            <w:vAlign w:val="center"/>
          </w:tcPr>
          <w:p>
            <w:pPr>
              <w:widowControl/>
              <w:jc w:val="center"/>
              <w:rPr>
                <w:kern w:val="0"/>
                <w:sz w:val="18"/>
                <w:szCs w:val="18"/>
              </w:rPr>
            </w:pPr>
            <w:r>
              <w:rPr>
                <w:rFonts w:hint="eastAsia"/>
                <w:kern w:val="0"/>
                <w:sz w:val="18"/>
                <w:szCs w:val="18"/>
              </w:rPr>
              <w:t>91340122MA2W0BL2XX</w:t>
            </w:r>
          </w:p>
        </w:tc>
        <w:tc>
          <w:tcPr>
            <w:tcW w:w="885" w:type="dxa"/>
            <w:gridSpan w:val="3"/>
            <w:vAlign w:val="center"/>
          </w:tcPr>
          <w:p>
            <w:pPr>
              <w:widowControl/>
              <w:jc w:val="center"/>
              <w:rPr>
                <w:kern w:val="0"/>
                <w:sz w:val="18"/>
                <w:szCs w:val="18"/>
              </w:rPr>
            </w:pPr>
            <w:r>
              <w:rPr>
                <w:rFonts w:hint="eastAsia"/>
                <w:kern w:val="0"/>
                <w:sz w:val="18"/>
                <w:szCs w:val="18"/>
              </w:rPr>
              <w:t>验收时间</w:t>
            </w:r>
          </w:p>
        </w:tc>
        <w:tc>
          <w:tcPr>
            <w:tcW w:w="3140" w:type="dxa"/>
            <w:gridSpan w:val="8"/>
            <w:vAlign w:val="center"/>
          </w:tcPr>
          <w:p>
            <w:pPr>
              <w:widowControl/>
              <w:jc w:val="center"/>
              <w:rPr>
                <w:rFonts w:hint="eastAsia" w:eastAsia="宋体"/>
                <w:color w:val="FF0000"/>
                <w:kern w:val="0"/>
                <w:sz w:val="18"/>
                <w:szCs w:val="18"/>
                <w:lang w:eastAsia="zh-CN"/>
              </w:rPr>
            </w:pPr>
            <w:r>
              <w:rPr>
                <w:rFonts w:hint="eastAsia"/>
                <w:kern w:val="0"/>
                <w:sz w:val="18"/>
                <w:szCs w:val="18"/>
              </w:rPr>
              <w:t>2022.2.</w:t>
            </w:r>
            <w:r>
              <w:rPr>
                <w:rFonts w:hint="eastAsia"/>
                <w:kern w:val="0"/>
                <w:sz w:val="18"/>
                <w:szCs w:val="18"/>
                <w:lang w:val="en-US" w:eastAsia="zh-CN"/>
              </w:rPr>
              <w:t>9</w:t>
            </w:r>
            <w:r>
              <w:rPr>
                <w:rFonts w:hint="eastAsia"/>
                <w:kern w:val="0"/>
                <w:sz w:val="18"/>
                <w:szCs w:val="18"/>
              </w:rPr>
              <w:t>～2022.2.1</w:t>
            </w:r>
            <w:r>
              <w:rPr>
                <w:rFonts w:hint="eastAsia"/>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widowControl/>
              <w:rPr>
                <w:kern w:val="0"/>
                <w:sz w:val="18"/>
                <w:szCs w:val="18"/>
              </w:rPr>
            </w:pPr>
            <w:r>
              <w:rPr>
                <w:kern w:val="0"/>
                <w:sz w:val="18"/>
                <w:szCs w:val="18"/>
              </w:rPr>
              <w:t>污染物排放达标与总控制</w:t>
            </w:r>
          </w:p>
          <w:p>
            <w:pPr>
              <w:widowControl/>
              <w:rPr>
                <w:kern w:val="0"/>
                <w:sz w:val="18"/>
                <w:szCs w:val="18"/>
              </w:rPr>
            </w:pPr>
            <w:r>
              <w:rPr>
                <w:kern w:val="0"/>
                <w:sz w:val="18"/>
                <w:szCs w:val="18"/>
              </w:rPr>
              <w:t>（工业建</w:t>
            </w:r>
          </w:p>
          <w:p>
            <w:pPr>
              <w:widowControl/>
              <w:rPr>
                <w:kern w:val="0"/>
                <w:sz w:val="18"/>
                <w:szCs w:val="18"/>
              </w:rPr>
            </w:pPr>
            <w:r>
              <w:rPr>
                <w:kern w:val="0"/>
                <w:sz w:val="18"/>
                <w:szCs w:val="18"/>
              </w:rPr>
              <w:t>设项目</w:t>
            </w:r>
          </w:p>
          <w:p>
            <w:pPr>
              <w:widowControl/>
              <w:rPr>
                <w:kern w:val="0"/>
                <w:sz w:val="18"/>
                <w:szCs w:val="18"/>
              </w:rPr>
            </w:pPr>
            <w:r>
              <w:rPr>
                <w:kern w:val="0"/>
                <w:sz w:val="18"/>
                <w:szCs w:val="18"/>
              </w:rPr>
              <w:t>详填）</w:t>
            </w:r>
          </w:p>
        </w:tc>
        <w:tc>
          <w:tcPr>
            <w:tcW w:w="1808" w:type="dxa"/>
            <w:gridSpan w:val="3"/>
            <w:vAlign w:val="center"/>
          </w:tcPr>
          <w:p>
            <w:pPr>
              <w:widowControl/>
              <w:rPr>
                <w:kern w:val="0"/>
                <w:sz w:val="18"/>
                <w:szCs w:val="18"/>
              </w:rPr>
            </w:pPr>
            <w:r>
              <w:rPr>
                <w:kern w:val="0"/>
                <w:sz w:val="18"/>
                <w:szCs w:val="18"/>
              </w:rPr>
              <w:t>污染物</w:t>
            </w:r>
          </w:p>
        </w:tc>
        <w:tc>
          <w:tcPr>
            <w:tcW w:w="815" w:type="dxa"/>
            <w:gridSpan w:val="2"/>
            <w:vAlign w:val="center"/>
          </w:tcPr>
          <w:p>
            <w:pPr>
              <w:widowControl/>
              <w:jc w:val="center"/>
              <w:rPr>
                <w:kern w:val="0"/>
                <w:sz w:val="18"/>
                <w:szCs w:val="18"/>
              </w:rPr>
            </w:pPr>
            <w:r>
              <w:rPr>
                <w:kern w:val="0"/>
                <w:sz w:val="18"/>
                <w:szCs w:val="18"/>
              </w:rPr>
              <w:t>原有排放量</w:t>
            </w:r>
            <w:r>
              <w:rPr>
                <w:kern w:val="0"/>
                <w:sz w:val="18"/>
                <w:szCs w:val="18"/>
              </w:rPr>
              <w:br w:type="textWrapping"/>
            </w:r>
            <w:r>
              <w:rPr>
                <w:kern w:val="0"/>
                <w:sz w:val="18"/>
                <w:szCs w:val="18"/>
              </w:rPr>
              <w:t>（1）</w:t>
            </w:r>
          </w:p>
        </w:tc>
        <w:tc>
          <w:tcPr>
            <w:tcW w:w="956" w:type="dxa"/>
            <w:gridSpan w:val="3"/>
            <w:vAlign w:val="center"/>
          </w:tcPr>
          <w:p>
            <w:pPr>
              <w:widowControl/>
              <w:jc w:val="center"/>
              <w:rPr>
                <w:kern w:val="0"/>
                <w:sz w:val="18"/>
                <w:szCs w:val="18"/>
              </w:rPr>
            </w:pPr>
            <w:r>
              <w:rPr>
                <w:kern w:val="0"/>
                <w:sz w:val="18"/>
                <w:szCs w:val="18"/>
              </w:rPr>
              <w:t>本期工程实际排放浓度（2）</w:t>
            </w:r>
          </w:p>
        </w:tc>
        <w:tc>
          <w:tcPr>
            <w:tcW w:w="956" w:type="dxa"/>
            <w:gridSpan w:val="3"/>
            <w:vAlign w:val="center"/>
          </w:tcPr>
          <w:p>
            <w:pPr>
              <w:widowControl/>
              <w:jc w:val="center"/>
              <w:rPr>
                <w:kern w:val="0"/>
                <w:sz w:val="18"/>
                <w:szCs w:val="18"/>
              </w:rPr>
            </w:pPr>
            <w:r>
              <w:rPr>
                <w:kern w:val="0"/>
                <w:sz w:val="18"/>
                <w:szCs w:val="18"/>
              </w:rPr>
              <w:t>本期工程允许排放浓度</w:t>
            </w:r>
            <w:r>
              <w:rPr>
                <w:kern w:val="0"/>
                <w:sz w:val="18"/>
                <w:szCs w:val="18"/>
              </w:rPr>
              <w:br w:type="textWrapping"/>
            </w:r>
            <w:r>
              <w:rPr>
                <w:kern w:val="0"/>
                <w:sz w:val="18"/>
                <w:szCs w:val="18"/>
              </w:rPr>
              <w:t>（3）</w:t>
            </w:r>
          </w:p>
        </w:tc>
        <w:tc>
          <w:tcPr>
            <w:tcW w:w="955" w:type="dxa"/>
            <w:vAlign w:val="center"/>
          </w:tcPr>
          <w:p>
            <w:pPr>
              <w:widowControl/>
              <w:jc w:val="center"/>
              <w:rPr>
                <w:kern w:val="0"/>
                <w:sz w:val="18"/>
                <w:szCs w:val="18"/>
              </w:rPr>
            </w:pPr>
            <w:r>
              <w:rPr>
                <w:kern w:val="0"/>
                <w:sz w:val="18"/>
                <w:szCs w:val="18"/>
              </w:rPr>
              <w:t>本期工程产生量</w:t>
            </w:r>
            <w:r>
              <w:rPr>
                <w:kern w:val="0"/>
                <w:sz w:val="18"/>
                <w:szCs w:val="18"/>
              </w:rPr>
              <w:br w:type="textWrapping"/>
            </w:r>
            <w:r>
              <w:rPr>
                <w:kern w:val="0"/>
                <w:sz w:val="18"/>
                <w:szCs w:val="18"/>
              </w:rPr>
              <w:t>（4）</w:t>
            </w:r>
          </w:p>
        </w:tc>
        <w:tc>
          <w:tcPr>
            <w:tcW w:w="1151" w:type="dxa"/>
            <w:gridSpan w:val="3"/>
            <w:vAlign w:val="center"/>
          </w:tcPr>
          <w:p>
            <w:pPr>
              <w:widowControl/>
              <w:jc w:val="center"/>
              <w:rPr>
                <w:kern w:val="0"/>
                <w:sz w:val="18"/>
                <w:szCs w:val="18"/>
              </w:rPr>
            </w:pPr>
            <w:r>
              <w:rPr>
                <w:kern w:val="0"/>
                <w:sz w:val="18"/>
                <w:szCs w:val="18"/>
              </w:rPr>
              <w:t>本期工程自身削减量（5）</w:t>
            </w:r>
          </w:p>
        </w:tc>
        <w:tc>
          <w:tcPr>
            <w:tcW w:w="761" w:type="dxa"/>
            <w:gridSpan w:val="2"/>
            <w:vAlign w:val="center"/>
          </w:tcPr>
          <w:p>
            <w:pPr>
              <w:widowControl/>
              <w:jc w:val="center"/>
              <w:rPr>
                <w:kern w:val="0"/>
                <w:sz w:val="18"/>
                <w:szCs w:val="18"/>
              </w:rPr>
            </w:pPr>
            <w:r>
              <w:rPr>
                <w:kern w:val="0"/>
                <w:sz w:val="18"/>
                <w:szCs w:val="18"/>
              </w:rPr>
              <w:t>本期工程实际排放量（6）</w:t>
            </w:r>
          </w:p>
        </w:tc>
        <w:tc>
          <w:tcPr>
            <w:tcW w:w="956" w:type="dxa"/>
            <w:gridSpan w:val="2"/>
            <w:vAlign w:val="center"/>
          </w:tcPr>
          <w:p>
            <w:pPr>
              <w:widowControl/>
              <w:jc w:val="center"/>
              <w:rPr>
                <w:kern w:val="0"/>
                <w:sz w:val="18"/>
                <w:szCs w:val="18"/>
              </w:rPr>
            </w:pPr>
            <w:r>
              <w:rPr>
                <w:kern w:val="0"/>
                <w:sz w:val="18"/>
                <w:szCs w:val="18"/>
              </w:rPr>
              <w:t>本期工程核定排放总量（7）</w:t>
            </w:r>
          </w:p>
        </w:tc>
        <w:tc>
          <w:tcPr>
            <w:tcW w:w="956" w:type="dxa"/>
            <w:gridSpan w:val="3"/>
            <w:vAlign w:val="center"/>
          </w:tcPr>
          <w:p>
            <w:pPr>
              <w:widowControl/>
              <w:jc w:val="center"/>
              <w:rPr>
                <w:kern w:val="0"/>
                <w:sz w:val="18"/>
                <w:szCs w:val="18"/>
              </w:rPr>
            </w:pPr>
            <w:r>
              <w:rPr>
                <w:kern w:val="0"/>
                <w:sz w:val="18"/>
                <w:szCs w:val="18"/>
              </w:rPr>
              <w:t>本期工程“以新带老”削减量</w:t>
            </w:r>
            <w:r>
              <w:rPr>
                <w:kern w:val="0"/>
                <w:sz w:val="18"/>
                <w:szCs w:val="18"/>
              </w:rPr>
              <w:br w:type="textWrapping"/>
            </w:r>
            <w:r>
              <w:rPr>
                <w:kern w:val="0"/>
                <w:sz w:val="18"/>
                <w:szCs w:val="18"/>
              </w:rPr>
              <w:t>（8）</w:t>
            </w:r>
          </w:p>
        </w:tc>
        <w:tc>
          <w:tcPr>
            <w:tcW w:w="956" w:type="dxa"/>
            <w:gridSpan w:val="4"/>
            <w:vAlign w:val="center"/>
          </w:tcPr>
          <w:p>
            <w:pPr>
              <w:widowControl/>
              <w:jc w:val="center"/>
              <w:rPr>
                <w:kern w:val="0"/>
                <w:sz w:val="18"/>
                <w:szCs w:val="18"/>
              </w:rPr>
            </w:pPr>
            <w:r>
              <w:rPr>
                <w:kern w:val="0"/>
                <w:sz w:val="18"/>
                <w:szCs w:val="18"/>
              </w:rPr>
              <w:t>全厂实际排放总量</w:t>
            </w:r>
            <w:r>
              <w:rPr>
                <w:kern w:val="0"/>
                <w:sz w:val="18"/>
                <w:szCs w:val="18"/>
              </w:rPr>
              <w:br w:type="textWrapping"/>
            </w:r>
            <w:r>
              <w:rPr>
                <w:kern w:val="0"/>
                <w:sz w:val="18"/>
                <w:szCs w:val="18"/>
              </w:rPr>
              <w:t>（9）</w:t>
            </w:r>
          </w:p>
        </w:tc>
        <w:tc>
          <w:tcPr>
            <w:tcW w:w="955" w:type="dxa"/>
            <w:gridSpan w:val="2"/>
            <w:vAlign w:val="center"/>
          </w:tcPr>
          <w:p>
            <w:pPr>
              <w:widowControl/>
              <w:jc w:val="center"/>
              <w:rPr>
                <w:kern w:val="0"/>
                <w:sz w:val="18"/>
                <w:szCs w:val="18"/>
              </w:rPr>
            </w:pPr>
            <w:r>
              <w:rPr>
                <w:kern w:val="0"/>
                <w:sz w:val="18"/>
                <w:szCs w:val="18"/>
              </w:rPr>
              <w:t>全厂核定排放总量</w:t>
            </w:r>
            <w:r>
              <w:rPr>
                <w:kern w:val="0"/>
                <w:sz w:val="18"/>
                <w:szCs w:val="18"/>
              </w:rPr>
              <w:br w:type="textWrapping"/>
            </w:r>
            <w:r>
              <w:rPr>
                <w:kern w:val="0"/>
                <w:sz w:val="18"/>
                <w:szCs w:val="18"/>
              </w:rPr>
              <w:t>（10）</w:t>
            </w:r>
          </w:p>
        </w:tc>
        <w:tc>
          <w:tcPr>
            <w:tcW w:w="956" w:type="dxa"/>
            <w:gridSpan w:val="2"/>
            <w:vAlign w:val="center"/>
          </w:tcPr>
          <w:p>
            <w:pPr>
              <w:widowControl/>
              <w:jc w:val="center"/>
              <w:rPr>
                <w:kern w:val="0"/>
                <w:sz w:val="18"/>
                <w:szCs w:val="18"/>
              </w:rPr>
            </w:pPr>
            <w:r>
              <w:rPr>
                <w:kern w:val="0"/>
                <w:sz w:val="18"/>
                <w:szCs w:val="18"/>
              </w:rPr>
              <w:t>区域平衡替代削减量</w:t>
            </w:r>
            <w:r>
              <w:rPr>
                <w:kern w:val="0"/>
                <w:sz w:val="18"/>
                <w:szCs w:val="18"/>
              </w:rPr>
              <w:br w:type="textWrapping"/>
            </w:r>
            <w:r>
              <w:rPr>
                <w:kern w:val="0"/>
                <w:sz w:val="18"/>
                <w:szCs w:val="18"/>
              </w:rPr>
              <w:t>（11）</w:t>
            </w:r>
          </w:p>
        </w:tc>
        <w:tc>
          <w:tcPr>
            <w:tcW w:w="962" w:type="dxa"/>
            <w:gridSpan w:val="2"/>
            <w:vAlign w:val="center"/>
          </w:tcPr>
          <w:p>
            <w:pPr>
              <w:widowControl/>
              <w:jc w:val="center"/>
              <w:rPr>
                <w:kern w:val="0"/>
                <w:sz w:val="18"/>
                <w:szCs w:val="18"/>
              </w:rPr>
            </w:pPr>
            <w:r>
              <w:rPr>
                <w:kern w:val="0"/>
                <w:sz w:val="18"/>
                <w:szCs w:val="18"/>
              </w:rPr>
              <w:t>排放增减量</w:t>
            </w:r>
            <w:r>
              <w:rPr>
                <w:kern w:val="0"/>
                <w:sz w:val="18"/>
                <w:szCs w:val="18"/>
              </w:rPr>
              <w:br w:type="textWrapping"/>
            </w:r>
            <w:r>
              <w:rPr>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废水</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化学需氧量</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氨氮</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石油类</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废气</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烟尘（粉尘）</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二氧化硫</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氮氧化物</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VOC</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tcBorders>
              <w:bottom w:val="single" w:color="auto" w:sz="4" w:space="0"/>
            </w:tcBorders>
            <w:vAlign w:val="center"/>
          </w:tcPr>
          <w:p>
            <w:pPr>
              <w:widowControl/>
              <w:rPr>
                <w:kern w:val="0"/>
                <w:sz w:val="18"/>
                <w:szCs w:val="18"/>
              </w:rPr>
            </w:pPr>
            <w:r>
              <w:rPr>
                <w:kern w:val="0"/>
                <w:sz w:val="18"/>
                <w:szCs w:val="18"/>
              </w:rPr>
              <w:t>工业固体废物</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rFonts w:hint="eastAsia"/>
                <w:kern w:val="0"/>
                <w:sz w:val="18"/>
                <w:szCs w:val="18"/>
              </w:rPr>
              <w:t>5</w:t>
            </w:r>
          </w:p>
        </w:tc>
        <w:tc>
          <w:tcPr>
            <w:tcW w:w="1151" w:type="dxa"/>
            <w:gridSpan w:val="3"/>
            <w:vAlign w:val="center"/>
          </w:tcPr>
          <w:p>
            <w:pPr>
              <w:widowControl/>
              <w:jc w:val="center"/>
              <w:rPr>
                <w:kern w:val="0"/>
                <w:sz w:val="18"/>
                <w:szCs w:val="18"/>
              </w:rPr>
            </w:pPr>
            <w:r>
              <w:rPr>
                <w:rFonts w:hint="eastAsia"/>
                <w:kern w:val="0"/>
                <w:sz w:val="18"/>
                <w:szCs w:val="18"/>
              </w:rPr>
              <w:t>5</w:t>
            </w:r>
          </w:p>
        </w:tc>
        <w:tc>
          <w:tcPr>
            <w:tcW w:w="761" w:type="dxa"/>
            <w:gridSpan w:val="2"/>
            <w:vAlign w:val="center"/>
          </w:tcPr>
          <w:p>
            <w:pPr>
              <w:widowControl/>
              <w:jc w:val="center"/>
              <w:rPr>
                <w:kern w:val="0"/>
                <w:sz w:val="18"/>
                <w:szCs w:val="18"/>
              </w:rPr>
            </w:pPr>
            <w:r>
              <w:rPr>
                <w:rFonts w:hint="eastAsia"/>
                <w:kern w:val="0"/>
                <w:sz w:val="18"/>
                <w:szCs w:val="18"/>
              </w:rPr>
              <w:t>0</w:t>
            </w:r>
          </w:p>
        </w:tc>
        <w:tc>
          <w:tcPr>
            <w:tcW w:w="956" w:type="dxa"/>
            <w:gridSpan w:val="2"/>
            <w:vAlign w:val="center"/>
          </w:tcPr>
          <w:p>
            <w:pPr>
              <w:widowControl/>
              <w:jc w:val="center"/>
              <w:rPr>
                <w:kern w:val="0"/>
                <w:sz w:val="18"/>
                <w:szCs w:val="18"/>
              </w:rPr>
            </w:pPr>
            <w:r>
              <w:rPr>
                <w:rFonts w:hint="eastAsia"/>
                <w:kern w:val="0"/>
                <w:sz w:val="18"/>
                <w:szCs w:val="18"/>
              </w:rPr>
              <w:t>0</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rFonts w:hint="eastAsia"/>
                <w:kern w:val="0"/>
                <w:sz w:val="18"/>
                <w:szCs w:val="18"/>
              </w:rPr>
              <w:t>0</w:t>
            </w:r>
          </w:p>
        </w:tc>
        <w:tc>
          <w:tcPr>
            <w:tcW w:w="955" w:type="dxa"/>
            <w:gridSpan w:val="2"/>
            <w:vAlign w:val="center"/>
          </w:tcPr>
          <w:p>
            <w:pPr>
              <w:widowControl/>
              <w:jc w:val="center"/>
              <w:rPr>
                <w:kern w:val="0"/>
                <w:sz w:val="18"/>
                <w:szCs w:val="18"/>
              </w:rPr>
            </w:pPr>
            <w:r>
              <w:rPr>
                <w:rFonts w:hint="eastAsia"/>
                <w:kern w:val="0"/>
                <w:sz w:val="18"/>
                <w:szCs w:val="18"/>
              </w:rPr>
              <w:t>0</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090" w:type="dxa"/>
            <w:vMerge w:val="restart"/>
            <w:tcBorders>
              <w:right w:val="single" w:color="auto" w:sz="4" w:space="0"/>
            </w:tcBorders>
            <w:vAlign w:val="center"/>
          </w:tcPr>
          <w:p>
            <w:pPr>
              <w:widowControl/>
              <w:rPr>
                <w:kern w:val="0"/>
                <w:sz w:val="18"/>
                <w:szCs w:val="18"/>
              </w:rPr>
            </w:pPr>
            <w:r>
              <w:rPr>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kern w:val="0"/>
                <w:sz w:val="18"/>
                <w:szCs w:val="18"/>
              </w:rPr>
            </w:pPr>
          </w:p>
        </w:tc>
        <w:tc>
          <w:tcPr>
            <w:tcW w:w="1090" w:type="dxa"/>
            <w:vMerge w:val="continue"/>
            <w:tcBorders>
              <w:right w:val="single" w:color="auto" w:sz="4" w:space="0"/>
            </w:tcBorders>
            <w:vAlign w:val="center"/>
          </w:tcPr>
          <w:p>
            <w:pPr>
              <w:widowControl/>
              <w:jc w:val="center"/>
              <w:rPr>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bl>
    <w:p>
      <w:pPr>
        <w:rPr>
          <w:b/>
          <w:szCs w:val="28"/>
        </w:rPr>
        <w:sectPr>
          <w:pgSz w:w="16840" w:h="11907" w:orient="landscape"/>
          <w:pgMar w:top="1134" w:right="1440" w:bottom="1134" w:left="1440" w:header="851" w:footer="992" w:gutter="0"/>
          <w:cols w:space="720" w:num="1"/>
          <w:docGrid w:linePitch="387" w:charSpace="0"/>
        </w:sectPr>
      </w:pPr>
      <w:r>
        <w:rPr>
          <w:kern w:val="0"/>
          <w:sz w:val="18"/>
          <w:szCs w:val="18"/>
        </w:rPr>
        <w:t>注：1、排放增减量：（+）表示增加，（-）表示减少；    2、(12)=(6)-(8)-(11)，（9）=(4)-(5)-(8)-(11)+（1）</w:t>
      </w:r>
      <w:r>
        <w:rPr>
          <w:kern w:val="0"/>
          <w:sz w:val="18"/>
          <w:szCs w:val="18"/>
        </w:rPr>
        <w:br w:type="textWrapping"/>
      </w:r>
      <w:r>
        <w:rPr>
          <w:kern w:val="0"/>
          <w:sz w:val="18"/>
          <w:szCs w:val="18"/>
        </w:rPr>
        <w:t xml:space="preserve">    3、计量单位：废水排放量——万吨/年；废气排放量——万标立方米/年；工业固体废物排放量——万吨/年；水污染物排放浓度——毫克/升；</w:t>
      </w:r>
      <w:r>
        <w:rPr>
          <w:kern w:val="0"/>
          <w:sz w:val="18"/>
          <w:szCs w:val="18"/>
        </w:rPr>
        <w:br w:type="textWrapping"/>
      </w:r>
      <w:r>
        <w:rPr>
          <w:kern w:val="0"/>
          <w:sz w:val="18"/>
          <w:szCs w:val="18"/>
        </w:rPr>
        <w:t>大气污染物排放浓度——毫克/立方米；水污染物排放量——吨/年；大气污染物排放量——吨/年</w:t>
      </w:r>
    </w:p>
    <w:p>
      <w:pPr>
        <w:pStyle w:val="10"/>
        <w:spacing w:after="0" w:line="360" w:lineRule="auto"/>
        <w:ind w:left="0" w:leftChars="0"/>
        <w:rPr>
          <w:color w:val="FF0000"/>
          <w:sz w:val="24"/>
        </w:rPr>
      </w:pPr>
    </w:p>
    <w:p>
      <w:pPr>
        <w:spacing w:line="360" w:lineRule="auto"/>
        <w:rPr>
          <w:sz w:val="24"/>
        </w:rPr>
      </w:pPr>
      <w:r>
        <w:rPr>
          <w:sz w:val="24"/>
        </w:rPr>
        <w:t>附件：</w:t>
      </w:r>
    </w:p>
    <w:p>
      <w:pPr>
        <w:spacing w:line="360" w:lineRule="auto"/>
        <w:rPr>
          <w:sz w:val="24"/>
        </w:rPr>
      </w:pPr>
      <w:r>
        <w:rPr>
          <w:rFonts w:hint="eastAsia"/>
          <w:sz w:val="24"/>
        </w:rPr>
        <w:t>1</w:t>
      </w:r>
      <w:r>
        <w:rPr>
          <w:sz w:val="24"/>
        </w:rPr>
        <w:t>、项目环评批复</w:t>
      </w:r>
    </w:p>
    <w:p>
      <w:pPr>
        <w:spacing w:line="360" w:lineRule="auto"/>
        <w:rPr>
          <w:sz w:val="24"/>
        </w:rPr>
      </w:pPr>
      <w:r>
        <w:rPr>
          <w:rFonts w:hint="eastAsia"/>
          <w:sz w:val="24"/>
        </w:rPr>
        <w:t>2</w:t>
      </w:r>
      <w:r>
        <w:rPr>
          <w:sz w:val="24"/>
        </w:rPr>
        <w:t>、现场照片</w:t>
      </w:r>
    </w:p>
    <w:p>
      <w:pPr>
        <w:spacing w:line="360" w:lineRule="auto"/>
        <w:rPr>
          <w:sz w:val="24"/>
        </w:rPr>
      </w:pPr>
      <w:r>
        <w:rPr>
          <w:rFonts w:hint="eastAsia"/>
          <w:sz w:val="24"/>
        </w:rPr>
        <w:t>3</w:t>
      </w:r>
      <w:r>
        <w:rPr>
          <w:sz w:val="24"/>
        </w:rPr>
        <w:t>、监测报告</w:t>
      </w:r>
    </w:p>
    <w:p>
      <w:pPr>
        <w:spacing w:line="360" w:lineRule="auto"/>
        <w:rPr>
          <w:sz w:val="24"/>
        </w:rPr>
      </w:pPr>
      <w:r>
        <w:rPr>
          <w:rFonts w:hint="eastAsia"/>
          <w:sz w:val="24"/>
        </w:rPr>
        <w:t>4、危废协议</w:t>
      </w:r>
    </w:p>
    <w:p>
      <w:pPr>
        <w:spacing w:line="360" w:lineRule="auto"/>
        <w:rPr>
          <w:sz w:val="24"/>
        </w:rPr>
      </w:pPr>
      <w:r>
        <w:rPr>
          <w:sz w:val="24"/>
        </w:rPr>
        <w:t>附图：</w:t>
      </w:r>
    </w:p>
    <w:p>
      <w:pPr>
        <w:spacing w:line="360" w:lineRule="auto"/>
        <w:rPr>
          <w:sz w:val="24"/>
        </w:rPr>
      </w:pPr>
      <w:r>
        <w:rPr>
          <w:sz w:val="24"/>
        </w:rPr>
        <w:t>1、项目地理位置图</w:t>
      </w:r>
    </w:p>
    <w:p>
      <w:pPr>
        <w:spacing w:line="360" w:lineRule="auto"/>
        <w:rPr>
          <w:sz w:val="24"/>
        </w:rPr>
      </w:pPr>
      <w:r>
        <w:rPr>
          <w:rFonts w:hint="eastAsia"/>
          <w:sz w:val="24"/>
        </w:rPr>
        <w:t>2、平面布置图</w:t>
      </w:r>
      <w:r>
        <w:rPr>
          <w:sz w:val="24"/>
        </w:rPr>
        <w:t xml:space="preserve"> </w:t>
      </w:r>
    </w:p>
    <w:p>
      <w:pPr>
        <w:pStyle w:val="9"/>
        <w:jc w:val="both"/>
        <w:rPr>
          <w:b/>
          <w:bCs/>
          <w:color w:val="FF0000"/>
          <w:sz w:val="24"/>
        </w:rPr>
      </w:pPr>
    </w:p>
    <w:p>
      <w:pPr>
        <w:pStyle w:val="9"/>
        <w:jc w:val="both"/>
        <w:rPr>
          <w:b/>
          <w:bCs/>
          <w:color w:val="FF0000"/>
          <w:sz w:val="24"/>
        </w:rPr>
      </w:pPr>
    </w:p>
    <w:p>
      <w:pPr>
        <w:pStyle w:val="9"/>
        <w:jc w:val="both"/>
        <w:rPr>
          <w:b/>
          <w:bCs/>
          <w:color w:val="FF0000"/>
          <w:sz w:val="24"/>
        </w:rPr>
        <w:sectPr>
          <w:pgSz w:w="11906" w:h="16838"/>
          <w:pgMar w:top="1304" w:right="1797" w:bottom="1440" w:left="1797" w:header="851" w:footer="992" w:gutter="0"/>
          <w:cols w:space="720" w:num="1"/>
          <w:docGrid w:type="lines" w:linePitch="312" w:charSpace="0"/>
        </w:sectPr>
      </w:pPr>
    </w:p>
    <w:p>
      <w:pPr>
        <w:rPr>
          <w:sz w:val="24"/>
        </w:rPr>
      </w:pPr>
      <w:r>
        <w:rPr>
          <w:rFonts w:hint="eastAsia"/>
          <w:sz w:val="24"/>
        </w:rPr>
        <w:t>1、环评批复</w:t>
      </w:r>
    </w:p>
    <w:p>
      <w:pPr>
        <w:sectPr>
          <w:pgSz w:w="11906" w:h="16838"/>
          <w:pgMar w:top="1304" w:right="1797" w:bottom="1440" w:left="1797" w:header="851" w:footer="992" w:gutter="0"/>
          <w:cols w:space="720" w:num="1"/>
          <w:docGrid w:type="lines" w:linePitch="312" w:charSpace="0"/>
        </w:sectPr>
      </w:pPr>
      <w:r>
        <w:drawing>
          <wp:inline distT="0" distB="0" distL="114300" distR="114300">
            <wp:extent cx="5276850" cy="7218045"/>
            <wp:effectExtent l="0" t="0" r="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276850" cy="7218045"/>
                    </a:xfrm>
                    <a:prstGeom prst="rect">
                      <a:avLst/>
                    </a:prstGeom>
                    <a:noFill/>
                    <a:ln>
                      <a:noFill/>
                    </a:ln>
                  </pic:spPr>
                </pic:pic>
              </a:graphicData>
            </a:graphic>
          </wp:inline>
        </w:drawing>
      </w:r>
      <w:r>
        <w:drawing>
          <wp:inline distT="0" distB="0" distL="114300" distR="114300">
            <wp:extent cx="5273675" cy="7367905"/>
            <wp:effectExtent l="0" t="0" r="3175"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273675" cy="7367905"/>
                    </a:xfrm>
                    <a:prstGeom prst="rect">
                      <a:avLst/>
                    </a:prstGeom>
                    <a:noFill/>
                    <a:ln>
                      <a:noFill/>
                    </a:ln>
                  </pic:spPr>
                </pic:pic>
              </a:graphicData>
            </a:graphic>
          </wp:inline>
        </w:drawing>
      </w:r>
      <w:r>
        <w:drawing>
          <wp:inline distT="0" distB="0" distL="114300" distR="114300">
            <wp:extent cx="5273675" cy="7431405"/>
            <wp:effectExtent l="0" t="0" r="3175" b="171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5"/>
                    <a:stretch>
                      <a:fillRect/>
                    </a:stretch>
                  </pic:blipFill>
                  <pic:spPr>
                    <a:xfrm>
                      <a:off x="0" y="0"/>
                      <a:ext cx="5273675" cy="7431405"/>
                    </a:xfrm>
                    <a:prstGeom prst="rect">
                      <a:avLst/>
                    </a:prstGeom>
                    <a:noFill/>
                    <a:ln>
                      <a:noFill/>
                    </a:ln>
                  </pic:spPr>
                </pic:pic>
              </a:graphicData>
            </a:graphic>
          </wp:inline>
        </w:drawing>
      </w:r>
    </w:p>
    <w:p>
      <w:pPr>
        <w:pStyle w:val="12"/>
        <w:ind w:left="0" w:leftChars="0" w:firstLine="0" w:firstLineChars="0"/>
      </w:pPr>
      <w:r>
        <w:rPr>
          <w:rFonts w:hint="eastAsia"/>
        </w:rPr>
        <w:t>附件2：现场照片</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rPr>
                <w:rFonts w:eastAsiaTheme="minorEastAsia"/>
              </w:rPr>
            </w:pPr>
            <w:r>
              <w:rPr>
                <w:rFonts w:hint="eastAsia" w:eastAsiaTheme="minorEastAsia"/>
              </w:rPr>
              <w:drawing>
                <wp:inline distT="0" distB="0" distL="114300" distR="114300">
                  <wp:extent cx="2606675" cy="3237865"/>
                  <wp:effectExtent l="0" t="0" r="3175" b="635"/>
                  <wp:docPr id="2" name="图片 2" descr="密封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密封胶1"/>
                          <pic:cNvPicPr>
                            <a:picLocks noChangeAspect="1"/>
                          </pic:cNvPicPr>
                        </pic:nvPicPr>
                        <pic:blipFill>
                          <a:blip r:embed="rId26"/>
                          <a:stretch>
                            <a:fillRect/>
                          </a:stretch>
                        </pic:blipFill>
                        <pic:spPr>
                          <a:xfrm>
                            <a:off x="0" y="0"/>
                            <a:ext cx="2606675" cy="3237865"/>
                          </a:xfrm>
                          <a:prstGeom prst="rect">
                            <a:avLst/>
                          </a:prstGeom>
                        </pic:spPr>
                      </pic:pic>
                    </a:graphicData>
                  </a:graphic>
                </wp:inline>
              </w:drawing>
            </w:r>
          </w:p>
        </w:tc>
        <w:tc>
          <w:tcPr>
            <w:tcW w:w="4174" w:type="dxa"/>
          </w:tcPr>
          <w:p>
            <w:pPr>
              <w:rPr>
                <w:rFonts w:eastAsiaTheme="minorEastAsia"/>
              </w:rPr>
            </w:pPr>
            <w:r>
              <w:rPr>
                <w:rFonts w:hint="eastAsia" w:eastAsiaTheme="minorEastAsia"/>
              </w:rPr>
              <w:drawing>
                <wp:inline distT="0" distB="0" distL="114300" distR="114300">
                  <wp:extent cx="2508885" cy="3234055"/>
                  <wp:effectExtent l="0" t="0" r="5715" b="4445"/>
                  <wp:docPr id="3" name="图片 3" descr="密封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密封胶2"/>
                          <pic:cNvPicPr>
                            <a:picLocks noChangeAspect="1"/>
                          </pic:cNvPicPr>
                        </pic:nvPicPr>
                        <pic:blipFill>
                          <a:blip r:embed="rId27"/>
                          <a:stretch>
                            <a:fillRect/>
                          </a:stretch>
                        </pic:blipFill>
                        <pic:spPr>
                          <a:xfrm>
                            <a:off x="0" y="0"/>
                            <a:ext cx="2508885" cy="3234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jc w:val="center"/>
              <w:rPr>
                <w:rFonts w:eastAsiaTheme="minorEastAsia"/>
              </w:rPr>
            </w:pPr>
            <w:r>
              <w:rPr>
                <w:rFonts w:hint="eastAsia" w:eastAsiaTheme="minorEastAsia"/>
              </w:rPr>
              <w:t>上密封胶工序有机废气集气罩收集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rPr>
                <w:rFonts w:eastAsiaTheme="minorEastAsia"/>
              </w:rPr>
            </w:pPr>
            <w:r>
              <w:rPr>
                <w:rFonts w:hint="eastAsia" w:eastAsiaTheme="minorEastAsia"/>
              </w:rPr>
              <w:drawing>
                <wp:inline distT="0" distB="0" distL="114300" distR="114300">
                  <wp:extent cx="2613025" cy="4131310"/>
                  <wp:effectExtent l="0" t="0" r="15875" b="2540"/>
                  <wp:docPr id="4" name="图片 4" descr="上胶工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上胶工序"/>
                          <pic:cNvPicPr>
                            <a:picLocks noChangeAspect="1"/>
                          </pic:cNvPicPr>
                        </pic:nvPicPr>
                        <pic:blipFill>
                          <a:blip r:embed="rId28"/>
                          <a:stretch>
                            <a:fillRect/>
                          </a:stretch>
                        </pic:blipFill>
                        <pic:spPr>
                          <a:xfrm>
                            <a:off x="0" y="0"/>
                            <a:ext cx="2613025" cy="4131310"/>
                          </a:xfrm>
                          <a:prstGeom prst="rect">
                            <a:avLst/>
                          </a:prstGeom>
                        </pic:spPr>
                      </pic:pic>
                    </a:graphicData>
                  </a:graphic>
                </wp:inline>
              </w:drawing>
            </w:r>
          </w:p>
        </w:tc>
        <w:tc>
          <w:tcPr>
            <w:tcW w:w="4174" w:type="dxa"/>
          </w:tcPr>
          <w:p>
            <w:pPr>
              <w:rPr>
                <w:rFonts w:eastAsiaTheme="minorEastAsia"/>
              </w:rPr>
            </w:pPr>
            <w:r>
              <w:rPr>
                <w:rFonts w:hint="eastAsia" w:eastAsiaTheme="minorEastAsia"/>
              </w:rPr>
              <w:drawing>
                <wp:inline distT="0" distB="0" distL="114300" distR="114300">
                  <wp:extent cx="2496185" cy="4147820"/>
                  <wp:effectExtent l="0" t="0" r="18415" b="5080"/>
                  <wp:docPr id="6" name="图片 6" descr="缓冲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缓冲罐"/>
                          <pic:cNvPicPr>
                            <a:picLocks noChangeAspect="1"/>
                          </pic:cNvPicPr>
                        </pic:nvPicPr>
                        <pic:blipFill>
                          <a:blip r:embed="rId29"/>
                          <a:stretch>
                            <a:fillRect/>
                          </a:stretch>
                        </pic:blipFill>
                        <pic:spPr>
                          <a:xfrm>
                            <a:off x="0" y="0"/>
                            <a:ext cx="2496185" cy="4147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4" w:type="dxa"/>
          </w:tcPr>
          <w:p>
            <w:pPr>
              <w:jc w:val="center"/>
              <w:rPr>
                <w:rFonts w:eastAsiaTheme="minorEastAsia"/>
              </w:rPr>
            </w:pPr>
            <w:r>
              <w:rPr>
                <w:rFonts w:hint="eastAsia" w:eastAsiaTheme="minorEastAsia"/>
              </w:rPr>
              <w:t>上胶工序有机废气集气罩收集</w:t>
            </w:r>
          </w:p>
        </w:tc>
        <w:tc>
          <w:tcPr>
            <w:tcW w:w="4174" w:type="dxa"/>
          </w:tcPr>
          <w:p>
            <w:pPr>
              <w:jc w:val="center"/>
              <w:rPr>
                <w:rFonts w:eastAsiaTheme="minorEastAsia"/>
              </w:rPr>
            </w:pPr>
            <w:r>
              <w:rPr>
                <w:rFonts w:hint="eastAsia" w:eastAsiaTheme="minorEastAsia"/>
              </w:rPr>
              <w:t>缓冲罐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rPr>
                <w:rFonts w:eastAsiaTheme="minorEastAsia"/>
              </w:rPr>
            </w:pPr>
            <w:r>
              <w:rPr>
                <w:rFonts w:hint="eastAsia" w:eastAsiaTheme="minorEastAsia"/>
              </w:rPr>
              <w:drawing>
                <wp:inline distT="0" distB="0" distL="114300" distR="114300">
                  <wp:extent cx="2611755" cy="2795905"/>
                  <wp:effectExtent l="0" t="0" r="17145" b="4445"/>
                  <wp:docPr id="8" name="图片 8" descr="高压釜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高压釜废气"/>
                          <pic:cNvPicPr>
                            <a:picLocks noChangeAspect="1"/>
                          </pic:cNvPicPr>
                        </pic:nvPicPr>
                        <pic:blipFill>
                          <a:blip r:embed="rId30"/>
                          <a:stretch>
                            <a:fillRect/>
                          </a:stretch>
                        </pic:blipFill>
                        <pic:spPr>
                          <a:xfrm>
                            <a:off x="0" y="0"/>
                            <a:ext cx="2611755" cy="2795905"/>
                          </a:xfrm>
                          <a:prstGeom prst="rect">
                            <a:avLst/>
                          </a:prstGeom>
                        </pic:spPr>
                      </pic:pic>
                    </a:graphicData>
                  </a:graphic>
                </wp:inline>
              </w:drawing>
            </w:r>
          </w:p>
        </w:tc>
        <w:tc>
          <w:tcPr>
            <w:tcW w:w="4174" w:type="dxa"/>
          </w:tcPr>
          <w:p>
            <w:pPr>
              <w:rPr>
                <w:rFonts w:eastAsiaTheme="minorEastAsia"/>
              </w:rPr>
            </w:pPr>
            <w:r>
              <w:rPr>
                <w:rFonts w:hint="eastAsia" w:eastAsiaTheme="minorEastAsia"/>
              </w:rPr>
              <w:drawing>
                <wp:inline distT="0" distB="0" distL="114300" distR="114300">
                  <wp:extent cx="2508885" cy="2900680"/>
                  <wp:effectExtent l="0" t="0" r="5715" b="13970"/>
                  <wp:docPr id="12" name="图片 12" descr="水处理控制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处理控制系统"/>
                          <pic:cNvPicPr>
                            <a:picLocks noChangeAspect="1"/>
                          </pic:cNvPicPr>
                        </pic:nvPicPr>
                        <pic:blipFill>
                          <a:blip r:embed="rId31"/>
                          <a:stretch>
                            <a:fillRect/>
                          </a:stretch>
                        </pic:blipFill>
                        <pic:spPr>
                          <a:xfrm>
                            <a:off x="0" y="0"/>
                            <a:ext cx="2508885" cy="2900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jc w:val="center"/>
              <w:rPr>
                <w:rFonts w:eastAsiaTheme="minorEastAsia"/>
              </w:rPr>
            </w:pPr>
            <w:r>
              <w:rPr>
                <w:rFonts w:hint="eastAsia" w:eastAsiaTheme="minorEastAsia"/>
              </w:rPr>
              <w:t>高压釜处理工序有机废气集气罩收集</w:t>
            </w:r>
          </w:p>
        </w:tc>
        <w:tc>
          <w:tcPr>
            <w:tcW w:w="4174" w:type="dxa"/>
          </w:tcPr>
          <w:p>
            <w:pPr>
              <w:jc w:val="center"/>
              <w:rPr>
                <w:rFonts w:eastAsiaTheme="minorEastAsia"/>
              </w:rPr>
            </w:pPr>
            <w:r>
              <w:rPr>
                <w:rFonts w:hint="eastAsia" w:eastAsiaTheme="minorEastAsia"/>
              </w:rPr>
              <w:t>水处理控制系统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rPr>
                <w:rFonts w:eastAsiaTheme="minorEastAsia"/>
              </w:rPr>
            </w:pPr>
            <w:r>
              <w:rPr>
                <w:rFonts w:hint="eastAsia" w:eastAsiaTheme="minorEastAsia"/>
              </w:rPr>
              <w:drawing>
                <wp:inline distT="0" distB="0" distL="114300" distR="114300">
                  <wp:extent cx="2611755" cy="2729865"/>
                  <wp:effectExtent l="0" t="0" r="17145" b="13335"/>
                  <wp:docPr id="13" name="图片 13" descr="水处理净化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处理净化设备"/>
                          <pic:cNvPicPr>
                            <a:picLocks noChangeAspect="1"/>
                          </pic:cNvPicPr>
                        </pic:nvPicPr>
                        <pic:blipFill>
                          <a:blip r:embed="rId32"/>
                          <a:stretch>
                            <a:fillRect/>
                          </a:stretch>
                        </pic:blipFill>
                        <pic:spPr>
                          <a:xfrm>
                            <a:off x="0" y="0"/>
                            <a:ext cx="2611755" cy="2729865"/>
                          </a:xfrm>
                          <a:prstGeom prst="rect">
                            <a:avLst/>
                          </a:prstGeom>
                        </pic:spPr>
                      </pic:pic>
                    </a:graphicData>
                  </a:graphic>
                </wp:inline>
              </w:drawing>
            </w:r>
          </w:p>
        </w:tc>
        <w:tc>
          <w:tcPr>
            <w:tcW w:w="4174" w:type="dxa"/>
          </w:tcPr>
          <w:p>
            <w:pPr>
              <w:rPr>
                <w:rFonts w:eastAsiaTheme="minorEastAsia"/>
              </w:rPr>
            </w:pPr>
            <w:r>
              <w:rPr>
                <w:rFonts w:hint="eastAsia" w:eastAsiaTheme="minorEastAsia"/>
              </w:rPr>
              <w:drawing>
                <wp:inline distT="0" distB="0" distL="114300" distR="114300">
                  <wp:extent cx="2508885" cy="2701290"/>
                  <wp:effectExtent l="0" t="0" r="5715" b="3810"/>
                  <wp:docPr id="14" name="图片 14" descr="污泥过滤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污泥过滤设备"/>
                          <pic:cNvPicPr>
                            <a:picLocks noChangeAspect="1"/>
                          </pic:cNvPicPr>
                        </pic:nvPicPr>
                        <pic:blipFill>
                          <a:blip r:embed="rId33"/>
                          <a:stretch>
                            <a:fillRect/>
                          </a:stretch>
                        </pic:blipFill>
                        <pic:spPr>
                          <a:xfrm>
                            <a:off x="0" y="0"/>
                            <a:ext cx="2508885" cy="2701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4" w:type="dxa"/>
          </w:tcPr>
          <w:p>
            <w:pPr>
              <w:jc w:val="center"/>
              <w:rPr>
                <w:rFonts w:eastAsiaTheme="minorEastAsia"/>
              </w:rPr>
            </w:pPr>
            <w:r>
              <w:rPr>
                <w:rFonts w:hint="eastAsia"/>
              </w:rPr>
              <w:t>水处理净化设备</w:t>
            </w:r>
          </w:p>
        </w:tc>
        <w:tc>
          <w:tcPr>
            <w:tcW w:w="4174" w:type="dxa"/>
          </w:tcPr>
          <w:p>
            <w:pPr>
              <w:jc w:val="center"/>
              <w:rPr>
                <w:rFonts w:eastAsiaTheme="minorEastAsia"/>
              </w:rPr>
            </w:pPr>
            <w:r>
              <w:rPr>
                <w:rFonts w:hint="eastAsia"/>
              </w:rPr>
              <w:t>污泥过滤设备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jc w:val="center"/>
              <w:rPr>
                <w:rFonts w:hint="eastAsia" w:eastAsia="宋体"/>
                <w:lang w:eastAsia="zh-CN"/>
              </w:rPr>
            </w:pPr>
            <w:r>
              <w:rPr>
                <w:rFonts w:hint="eastAsia" w:eastAsia="宋体"/>
                <w:lang w:eastAsia="zh-CN"/>
              </w:rPr>
              <w:drawing>
                <wp:inline distT="0" distB="0" distL="114300" distR="114300">
                  <wp:extent cx="2283460" cy="3547110"/>
                  <wp:effectExtent l="0" t="0" r="2540" b="15240"/>
                  <wp:docPr id="21" name="图片 21" descr="7f8dd82211b870e59257c365cca5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f8dd82211b870e59257c365cca53ac"/>
                          <pic:cNvPicPr>
                            <a:picLocks noChangeAspect="1"/>
                          </pic:cNvPicPr>
                        </pic:nvPicPr>
                        <pic:blipFill>
                          <a:blip r:embed="rId34"/>
                          <a:stretch>
                            <a:fillRect/>
                          </a:stretch>
                        </pic:blipFill>
                        <pic:spPr>
                          <a:xfrm>
                            <a:off x="0" y="0"/>
                            <a:ext cx="2283460" cy="3547110"/>
                          </a:xfrm>
                          <a:prstGeom prst="rect">
                            <a:avLst/>
                          </a:prstGeom>
                        </pic:spPr>
                      </pic:pic>
                    </a:graphicData>
                  </a:graphic>
                </wp:inline>
              </w:drawing>
            </w:r>
          </w:p>
        </w:tc>
        <w:tc>
          <w:tcPr>
            <w:tcW w:w="4174" w:type="dxa"/>
          </w:tcPr>
          <w:p>
            <w:pPr>
              <w:jc w:val="center"/>
              <w:rPr>
                <w:rFonts w:hint="eastAsia"/>
              </w:rPr>
            </w:pPr>
            <w:r>
              <w:rPr>
                <w:rFonts w:hint="eastAsia"/>
              </w:rPr>
              <w:drawing>
                <wp:inline distT="0" distB="0" distL="114300" distR="114300">
                  <wp:extent cx="2611755" cy="3437255"/>
                  <wp:effectExtent l="0" t="0" r="17145" b="10795"/>
                  <wp:docPr id="24" name="图片 24" descr="二级活性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二级活性炭"/>
                          <pic:cNvPicPr>
                            <a:picLocks noChangeAspect="1"/>
                          </pic:cNvPicPr>
                        </pic:nvPicPr>
                        <pic:blipFill>
                          <a:blip r:embed="rId35"/>
                          <a:stretch>
                            <a:fillRect/>
                          </a:stretch>
                        </pic:blipFill>
                        <pic:spPr>
                          <a:xfrm>
                            <a:off x="0" y="0"/>
                            <a:ext cx="2611755" cy="3437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jc w:val="center"/>
              <w:rPr>
                <w:rFonts w:hint="eastAsia" w:eastAsia="宋体"/>
                <w:lang w:eastAsia="zh-CN"/>
              </w:rPr>
            </w:pPr>
            <w:r>
              <w:rPr>
                <w:rFonts w:hint="eastAsia"/>
                <w:lang w:eastAsia="zh-CN"/>
              </w:rPr>
              <w:t>危废暂存间</w:t>
            </w:r>
          </w:p>
        </w:tc>
        <w:tc>
          <w:tcPr>
            <w:tcW w:w="4174" w:type="dxa"/>
          </w:tcPr>
          <w:p>
            <w:pPr>
              <w:jc w:val="center"/>
              <w:rPr>
                <w:rFonts w:hint="eastAsia" w:eastAsia="宋体"/>
                <w:lang w:eastAsia="zh-CN"/>
              </w:rPr>
            </w:pPr>
            <w:r>
              <w:rPr>
                <w:rFonts w:hint="eastAsia"/>
                <w:lang w:eastAsia="zh-CN"/>
              </w:rPr>
              <w:t>两级活性炭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4" w:hRule="atLeast"/>
        </w:trPr>
        <w:tc>
          <w:tcPr>
            <w:tcW w:w="4354" w:type="dxa"/>
          </w:tcPr>
          <w:p>
            <w:pPr>
              <w:jc w:val="center"/>
            </w:pPr>
            <w:r>
              <w:rPr>
                <w:rFonts w:hint="eastAsia"/>
              </w:rPr>
              <w:drawing>
                <wp:inline distT="0" distB="0" distL="114300" distR="114300">
                  <wp:extent cx="2622550" cy="4248150"/>
                  <wp:effectExtent l="0" t="0" r="6350" b="0"/>
                  <wp:docPr id="25" name="图片 25" descr="二级活性炭+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二级活性炭+排气筒"/>
                          <pic:cNvPicPr>
                            <a:picLocks noChangeAspect="1"/>
                          </pic:cNvPicPr>
                        </pic:nvPicPr>
                        <pic:blipFill>
                          <a:blip r:embed="rId36"/>
                          <a:stretch>
                            <a:fillRect/>
                          </a:stretch>
                        </pic:blipFill>
                        <pic:spPr>
                          <a:xfrm>
                            <a:off x="0" y="0"/>
                            <a:ext cx="2622550" cy="4248150"/>
                          </a:xfrm>
                          <a:prstGeom prst="rect">
                            <a:avLst/>
                          </a:prstGeom>
                        </pic:spPr>
                      </pic:pic>
                    </a:graphicData>
                  </a:graphic>
                </wp:inline>
              </w:drawing>
            </w:r>
          </w:p>
        </w:tc>
        <w:tc>
          <w:tcPr>
            <w:tcW w:w="4174"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jc w:val="center"/>
            </w:pPr>
            <w:r>
              <w:rPr>
                <w:rFonts w:hint="eastAsia"/>
                <w:szCs w:val="21"/>
              </w:rPr>
              <w:t>过滤棉+</w:t>
            </w:r>
            <w:r>
              <w:rPr>
                <w:bCs/>
                <w:szCs w:val="21"/>
              </w:rPr>
              <w:t>二级活性炭吸附</w:t>
            </w:r>
            <w:r>
              <w:rPr>
                <w:rFonts w:hint="eastAsia"/>
                <w:bCs/>
                <w:szCs w:val="21"/>
              </w:rPr>
              <w:t>+</w:t>
            </w:r>
            <w:r>
              <w:rPr>
                <w:szCs w:val="21"/>
              </w:rPr>
              <w:t>15m高排气筒</w:t>
            </w:r>
          </w:p>
        </w:tc>
        <w:tc>
          <w:tcPr>
            <w:tcW w:w="4174" w:type="dxa"/>
          </w:tcPr>
          <w:p>
            <w:pPr>
              <w:jc w:val="center"/>
            </w:pPr>
          </w:p>
        </w:tc>
      </w:tr>
    </w:tbl>
    <w:p>
      <w:pPr>
        <w:pStyle w:val="12"/>
        <w:ind w:left="0" w:leftChars="0" w:firstLine="0" w:firstLineChars="0"/>
      </w:pPr>
    </w:p>
    <w:p>
      <w:pPr>
        <w:pStyle w:val="9"/>
        <w:jc w:val="both"/>
        <w:rPr>
          <w:b/>
          <w:bCs/>
          <w:color w:val="FF0000"/>
          <w:sz w:val="24"/>
        </w:rPr>
      </w:pPr>
    </w:p>
    <w:p>
      <w:pPr>
        <w:pStyle w:val="12"/>
        <w:ind w:left="0" w:leftChars="0" w:firstLine="0" w:firstLineChars="0"/>
        <w:rPr>
          <w:rFonts w:hint="eastAsia"/>
        </w:rPr>
      </w:pPr>
      <w:r>
        <w:rPr>
          <w:rFonts w:hint="eastAsia"/>
        </w:rPr>
        <w:t>附件3：检测报告</w:t>
      </w:r>
    </w:p>
    <w:p>
      <w:pPr>
        <w:pStyle w:val="12"/>
        <w:ind w:left="0" w:leftChars="0" w:firstLine="0" w:firstLineChars="0"/>
        <w:rPr>
          <w:rFonts w:hint="eastAsia"/>
        </w:rPr>
      </w:pPr>
      <w:r>
        <w:drawing>
          <wp:inline distT="0" distB="0" distL="114300" distR="114300">
            <wp:extent cx="5274945" cy="7543800"/>
            <wp:effectExtent l="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7"/>
                    <a:stretch>
                      <a:fillRect/>
                    </a:stretch>
                  </pic:blipFill>
                  <pic:spPr>
                    <a:xfrm>
                      <a:off x="0" y="0"/>
                      <a:ext cx="5274945" cy="7543800"/>
                    </a:xfrm>
                    <a:prstGeom prst="rect">
                      <a:avLst/>
                    </a:prstGeom>
                    <a:noFill/>
                    <a:ln>
                      <a:noFill/>
                    </a:ln>
                  </pic:spPr>
                </pic:pic>
              </a:graphicData>
            </a:graphic>
          </wp:inline>
        </w:drawing>
      </w:r>
      <w:r>
        <w:drawing>
          <wp:inline distT="0" distB="0" distL="114300" distR="114300">
            <wp:extent cx="5274310" cy="7400290"/>
            <wp:effectExtent l="0" t="0" r="254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8"/>
                    <a:stretch>
                      <a:fillRect/>
                    </a:stretch>
                  </pic:blipFill>
                  <pic:spPr>
                    <a:xfrm>
                      <a:off x="0" y="0"/>
                      <a:ext cx="5274310" cy="7400290"/>
                    </a:xfrm>
                    <a:prstGeom prst="rect">
                      <a:avLst/>
                    </a:prstGeom>
                    <a:noFill/>
                    <a:ln>
                      <a:noFill/>
                    </a:ln>
                  </pic:spPr>
                </pic:pic>
              </a:graphicData>
            </a:graphic>
          </wp:inline>
        </w:drawing>
      </w:r>
      <w:r>
        <w:drawing>
          <wp:inline distT="0" distB="0" distL="114300" distR="114300">
            <wp:extent cx="5273040" cy="7570470"/>
            <wp:effectExtent l="0" t="0" r="3810" b="1143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9"/>
                    <a:stretch>
                      <a:fillRect/>
                    </a:stretch>
                  </pic:blipFill>
                  <pic:spPr>
                    <a:xfrm>
                      <a:off x="0" y="0"/>
                      <a:ext cx="5273040" cy="7570470"/>
                    </a:xfrm>
                    <a:prstGeom prst="rect">
                      <a:avLst/>
                    </a:prstGeom>
                    <a:noFill/>
                    <a:ln>
                      <a:noFill/>
                    </a:ln>
                  </pic:spPr>
                </pic:pic>
              </a:graphicData>
            </a:graphic>
          </wp:inline>
        </w:drawing>
      </w:r>
      <w:r>
        <w:drawing>
          <wp:inline distT="0" distB="0" distL="114300" distR="114300">
            <wp:extent cx="5277485" cy="7535545"/>
            <wp:effectExtent l="0" t="0" r="18415"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0"/>
                    <a:stretch>
                      <a:fillRect/>
                    </a:stretch>
                  </pic:blipFill>
                  <pic:spPr>
                    <a:xfrm>
                      <a:off x="0" y="0"/>
                      <a:ext cx="5277485" cy="7535545"/>
                    </a:xfrm>
                    <a:prstGeom prst="rect">
                      <a:avLst/>
                    </a:prstGeom>
                    <a:noFill/>
                    <a:ln>
                      <a:noFill/>
                    </a:ln>
                  </pic:spPr>
                </pic:pic>
              </a:graphicData>
            </a:graphic>
          </wp:inline>
        </w:drawing>
      </w:r>
      <w:r>
        <w:drawing>
          <wp:inline distT="0" distB="0" distL="114300" distR="114300">
            <wp:extent cx="5273675" cy="7376160"/>
            <wp:effectExtent l="0" t="0" r="3175" b="1524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1"/>
                    <a:stretch>
                      <a:fillRect/>
                    </a:stretch>
                  </pic:blipFill>
                  <pic:spPr>
                    <a:xfrm>
                      <a:off x="0" y="0"/>
                      <a:ext cx="5273675" cy="7376160"/>
                    </a:xfrm>
                    <a:prstGeom prst="rect">
                      <a:avLst/>
                    </a:prstGeom>
                    <a:noFill/>
                    <a:ln>
                      <a:noFill/>
                    </a:ln>
                  </pic:spPr>
                </pic:pic>
              </a:graphicData>
            </a:graphic>
          </wp:inline>
        </w:drawing>
      </w:r>
      <w:r>
        <w:drawing>
          <wp:inline distT="0" distB="0" distL="114300" distR="114300">
            <wp:extent cx="5274945" cy="7552690"/>
            <wp:effectExtent l="0" t="0" r="1905"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2"/>
                    <a:stretch>
                      <a:fillRect/>
                    </a:stretch>
                  </pic:blipFill>
                  <pic:spPr>
                    <a:xfrm>
                      <a:off x="0" y="0"/>
                      <a:ext cx="5274945" cy="7552690"/>
                    </a:xfrm>
                    <a:prstGeom prst="rect">
                      <a:avLst/>
                    </a:prstGeom>
                    <a:noFill/>
                    <a:ln>
                      <a:noFill/>
                    </a:ln>
                  </pic:spPr>
                </pic:pic>
              </a:graphicData>
            </a:graphic>
          </wp:inline>
        </w:drawing>
      </w:r>
      <w:r>
        <w:drawing>
          <wp:inline distT="0" distB="0" distL="114300" distR="114300">
            <wp:extent cx="5274945" cy="7620635"/>
            <wp:effectExtent l="0" t="0" r="1905" b="1841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3"/>
                    <a:stretch>
                      <a:fillRect/>
                    </a:stretch>
                  </pic:blipFill>
                  <pic:spPr>
                    <a:xfrm>
                      <a:off x="0" y="0"/>
                      <a:ext cx="5274945" cy="7620635"/>
                    </a:xfrm>
                    <a:prstGeom prst="rect">
                      <a:avLst/>
                    </a:prstGeom>
                    <a:noFill/>
                    <a:ln>
                      <a:noFill/>
                    </a:ln>
                  </pic:spPr>
                </pic:pic>
              </a:graphicData>
            </a:graphic>
          </wp:inline>
        </w:drawing>
      </w:r>
      <w:r>
        <w:drawing>
          <wp:inline distT="0" distB="0" distL="114300" distR="114300">
            <wp:extent cx="5276850" cy="7433945"/>
            <wp:effectExtent l="0" t="0" r="0" b="1460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276850" cy="7433945"/>
                    </a:xfrm>
                    <a:prstGeom prst="rect">
                      <a:avLst/>
                    </a:prstGeom>
                    <a:noFill/>
                    <a:ln>
                      <a:noFill/>
                    </a:ln>
                  </pic:spPr>
                </pic:pic>
              </a:graphicData>
            </a:graphic>
          </wp:inline>
        </w:drawing>
      </w:r>
      <w:r>
        <w:drawing>
          <wp:inline distT="0" distB="0" distL="114300" distR="114300">
            <wp:extent cx="5276850" cy="7459980"/>
            <wp:effectExtent l="0" t="0" r="0" b="762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45"/>
                    <a:stretch>
                      <a:fillRect/>
                    </a:stretch>
                  </pic:blipFill>
                  <pic:spPr>
                    <a:xfrm>
                      <a:off x="0" y="0"/>
                      <a:ext cx="5276850" cy="7459980"/>
                    </a:xfrm>
                    <a:prstGeom prst="rect">
                      <a:avLst/>
                    </a:prstGeom>
                    <a:noFill/>
                    <a:ln>
                      <a:noFill/>
                    </a:ln>
                  </pic:spPr>
                </pic:pic>
              </a:graphicData>
            </a:graphic>
          </wp:inline>
        </w:drawing>
      </w:r>
      <w:r>
        <w:drawing>
          <wp:inline distT="0" distB="0" distL="114300" distR="114300">
            <wp:extent cx="5275580" cy="7715250"/>
            <wp:effectExtent l="0" t="0" r="1270"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46"/>
                    <a:stretch>
                      <a:fillRect/>
                    </a:stretch>
                  </pic:blipFill>
                  <pic:spPr>
                    <a:xfrm>
                      <a:off x="0" y="0"/>
                      <a:ext cx="5275580" cy="7715250"/>
                    </a:xfrm>
                    <a:prstGeom prst="rect">
                      <a:avLst/>
                    </a:prstGeom>
                    <a:noFill/>
                    <a:ln>
                      <a:noFill/>
                    </a:ln>
                  </pic:spPr>
                </pic:pic>
              </a:graphicData>
            </a:graphic>
          </wp:inline>
        </w:drawing>
      </w:r>
    </w:p>
    <w:p>
      <w:pPr>
        <w:pStyle w:val="12"/>
        <w:ind w:left="0" w:leftChars="0" w:firstLine="0" w:firstLineChars="0"/>
      </w:pPr>
    </w:p>
    <w:p>
      <w:pPr>
        <w:pStyle w:val="12"/>
        <w:ind w:left="0" w:leftChars="0" w:firstLine="0" w:firstLineChars="0"/>
      </w:pPr>
    </w:p>
    <w:p>
      <w:pPr>
        <w:pStyle w:val="12"/>
        <w:ind w:left="0" w:leftChars="0" w:firstLine="0" w:firstLineChars="0"/>
      </w:pPr>
    </w:p>
    <w:p>
      <w:pPr>
        <w:pStyle w:val="9"/>
        <w:jc w:val="both"/>
        <w:rPr>
          <w:b/>
          <w:bCs/>
          <w:color w:val="FF0000"/>
          <w:sz w:val="24"/>
        </w:rPr>
      </w:pPr>
    </w:p>
    <w:p>
      <w:pPr>
        <w:pStyle w:val="9"/>
        <w:jc w:val="both"/>
        <w:rPr>
          <w:color w:val="FF0000"/>
        </w:rPr>
        <w:sectPr>
          <w:pgSz w:w="11906" w:h="16838"/>
          <w:pgMar w:top="1304" w:right="1797" w:bottom="1440" w:left="1797" w:header="851" w:footer="992" w:gutter="0"/>
          <w:cols w:space="720" w:num="1"/>
          <w:docGrid w:type="lines" w:linePitch="312" w:charSpace="0"/>
        </w:sectPr>
      </w:pPr>
    </w:p>
    <w:p>
      <w:pPr>
        <w:sectPr>
          <w:pgSz w:w="16838" w:h="11906" w:orient="landscape"/>
          <w:pgMar w:top="1797" w:right="1304" w:bottom="1797" w:left="1440" w:header="851" w:footer="992" w:gutter="0"/>
          <w:cols w:space="720" w:num="1"/>
          <w:docGrid w:type="lines" w:linePitch="312" w:charSpace="0"/>
        </w:sectPr>
      </w:pPr>
      <w:r>
        <w:rPr>
          <w:sz w:val="44"/>
          <w:szCs w:val="44"/>
        </w:rPr>
        <w:drawing>
          <wp:anchor distT="0" distB="0" distL="114300" distR="114300" simplePos="0" relativeHeight="251686912" behindDoc="0" locked="0" layoutInCell="1" allowOverlap="1">
            <wp:simplePos x="0" y="0"/>
            <wp:positionH relativeFrom="column">
              <wp:posOffset>7270115</wp:posOffset>
            </wp:positionH>
            <wp:positionV relativeFrom="paragraph">
              <wp:posOffset>49530</wp:posOffset>
            </wp:positionV>
            <wp:extent cx="987425" cy="958850"/>
            <wp:effectExtent l="0" t="0" r="3175" b="1270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7"/>
                    <a:srcRect t="3204" r="5125"/>
                    <a:stretch>
                      <a:fillRect/>
                    </a:stretch>
                  </pic:blipFill>
                  <pic:spPr>
                    <a:xfrm>
                      <a:off x="0" y="0"/>
                      <a:ext cx="987425" cy="958850"/>
                    </a:xfrm>
                    <a:prstGeom prst="rect">
                      <a:avLst/>
                    </a:prstGeom>
                    <a:noFill/>
                    <a:ln>
                      <a:noFill/>
                    </a:ln>
                  </pic:spPr>
                </pic:pic>
              </a:graphicData>
            </a:graphic>
          </wp:anchor>
        </w:drawing>
      </w:r>
      <w:r>
        <mc:AlternateContent>
          <mc:Choice Requires="wps">
            <w:drawing>
              <wp:anchor distT="0" distB="0" distL="114300" distR="114300" simplePos="0" relativeHeight="251681792" behindDoc="0" locked="0" layoutInCell="1" allowOverlap="1">
                <wp:simplePos x="0" y="0"/>
                <wp:positionH relativeFrom="column">
                  <wp:posOffset>2255520</wp:posOffset>
                </wp:positionH>
                <wp:positionV relativeFrom="paragraph">
                  <wp:posOffset>5341620</wp:posOffset>
                </wp:positionV>
                <wp:extent cx="3152775" cy="276225"/>
                <wp:effectExtent l="0" t="0" r="9525" b="9525"/>
                <wp:wrapNone/>
                <wp:docPr id="57" name="矩形 57"/>
                <wp:cNvGraphicFramePr/>
                <a:graphic xmlns:a="http://schemas.openxmlformats.org/drawingml/2006/main">
                  <a:graphicData uri="http://schemas.microsoft.com/office/word/2010/wordprocessingShape">
                    <wps:wsp>
                      <wps:cNvSpPr/>
                      <wps:spPr>
                        <a:xfrm>
                          <a:off x="3531870" y="6282690"/>
                          <a:ext cx="315277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24"/>
                              </w:rPr>
                            </w:pPr>
                            <w:r>
                              <w:rPr>
                                <w:rFonts w:hint="eastAsia"/>
                                <w:b/>
                                <w:bCs/>
                                <w:sz w:val="24"/>
                              </w:rPr>
                              <w:t>附图一：项目地理位置图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6pt;margin-top:420.6pt;height:21.75pt;width:248.25pt;z-index:251681792;v-text-anchor:middle;mso-width-relative:page;mso-height-relative:page;" fillcolor="#FFFFFF [3201]" filled="t" stroked="f" coordsize="21600,21600" o:gfxdata="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dEyCC2gAAAAsBAAAPAAAAAAAAAAEA&#10;IAAAACIAAABkcnMvZG93bnJldi54bWxQSwECFAAUAAAACACHTuJAzYo4K38CAADkBAAADgAAAAAA&#10;AAABACAAAAApAQAAZHJzL2Uyb0RvYy54bWxQSwUGAAAAAAYABgBZAQAAGgYAAAAA&#10;">
                <v:fill on="t" focussize="0,0"/>
                <v:stroke on="f" weight="1pt" miterlimit="8" joinstyle="miter"/>
                <v:imagedata o:title=""/>
                <o:lock v:ext="edit" aspectratio="f"/>
                <v:textbox>
                  <w:txbxContent>
                    <w:p>
                      <w:pPr>
                        <w:jc w:val="center"/>
                        <w:rPr>
                          <w:b/>
                          <w:bCs/>
                          <w:sz w:val="24"/>
                        </w:rPr>
                      </w:pPr>
                      <w:r>
                        <w:rPr>
                          <w:rFonts w:hint="eastAsia"/>
                          <w:b/>
                          <w:bCs/>
                          <w:sz w:val="24"/>
                        </w:rPr>
                        <w:t>附图一：项目地理位置图</w:t>
                      </w: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3922395</wp:posOffset>
                </wp:positionH>
                <wp:positionV relativeFrom="paragraph">
                  <wp:posOffset>2131060</wp:posOffset>
                </wp:positionV>
                <wp:extent cx="952500" cy="391160"/>
                <wp:effectExtent l="0" t="0" r="0" b="0"/>
                <wp:wrapNone/>
                <wp:docPr id="51" name="矩形 51"/>
                <wp:cNvGraphicFramePr/>
                <a:graphic xmlns:a="http://schemas.openxmlformats.org/drawingml/2006/main">
                  <a:graphicData uri="http://schemas.microsoft.com/office/word/2010/wordprocessingShape">
                    <wps:wsp>
                      <wps:cNvSpPr/>
                      <wps:spPr>
                        <a:xfrm>
                          <a:off x="4960620" y="3082290"/>
                          <a:ext cx="952500" cy="39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85pt;margin-top:167.8pt;height:30.8pt;width:75pt;z-index:251680768;v-text-anchor:middle;mso-width-relative:page;mso-height-relative:page;" filled="f" stroked="f" coordsize="21600,21600" o:gfxdata="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eTdGtgAAAALAQAADwAAAAAAAAABACAAAAAiAAAAZHJzL2Rvd25yZXYueG1s&#10;UEsBAhQAFAAAAAgAh07iQNiYnSZqAgAAugQAAA4AAAAAAAAAAQAgAAAAJwEAAGRycy9lMm9Eb2Mu&#10;eG1sUEsFBgAAAAAGAAYAWQEAAAMGAAAAAA==&#10;">
                <v:fill on="f" focussize="0,0"/>
                <v:stroke on="f" weight="1pt" miterlimit="8" joinstyle="miter"/>
                <v:imagedata o:title=""/>
                <o:lock v:ext="edit" aspectratio="f"/>
                <v:textbox>
                  <w:txbxContent>
                    <w:p>
                      <w:pPr>
                        <w:jc w:val="center"/>
                        <w:rPr>
                          <w:color w:val="FF0000"/>
                        </w:rPr>
                      </w:pPr>
                      <w:r>
                        <w:rPr>
                          <w:rFonts w:hint="eastAsia"/>
                          <w:color w:val="FF0000"/>
                        </w:rPr>
                        <w:t>项目所在地</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3773170</wp:posOffset>
                </wp:positionH>
                <wp:positionV relativeFrom="paragraph">
                  <wp:posOffset>2341245</wp:posOffset>
                </wp:positionV>
                <wp:extent cx="238125" cy="133350"/>
                <wp:effectExtent l="2540" t="1905" r="6985" b="17145"/>
                <wp:wrapNone/>
                <wp:docPr id="20" name="直接箭头连接符 20"/>
                <wp:cNvGraphicFramePr/>
                <a:graphic xmlns:a="http://schemas.openxmlformats.org/drawingml/2006/main">
                  <a:graphicData uri="http://schemas.microsoft.com/office/word/2010/wordprocessingShape">
                    <wps:wsp>
                      <wps:cNvCnPr/>
                      <wps:spPr>
                        <a:xfrm flipV="1">
                          <a:off x="4687570" y="3482340"/>
                          <a:ext cx="238125" cy="1333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7.1pt;margin-top:184.35pt;height:10.5pt;width:18.75pt;z-index:251684864;mso-width-relative:page;mso-height-relative:page;" filled="f" stroked="t" coordsize="21600,21600" o:gfxdata="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mFJj&#10;2gAAAAsBAAAPAAAAAAAAAAEAIAAAACIAAABkcnMvZG93bnJldi54bWxQSwECFAAUAAAACACHTuJA&#10;7+XjEx8CAAD6AwAADgAAAAAAAAABACAAAAApAQAAZHJzL2Uyb0RvYy54bWxQSwUGAAAAAAYABgBZ&#10;AQAAugUAAAAA&#10;">
                <v:fill on="f" focussize="0,0"/>
                <v:stroke weight="0.5pt" color="#FF0000 [3204]" miterlimit="8" joinstyle="miter" endarrow="open"/>
                <v:imagedata o:title=""/>
                <o:lock v:ext="edit" aspectratio="f"/>
              </v:shape>
            </w:pict>
          </mc:Fallback>
        </mc:AlternateContent>
      </w:r>
      <w:r>
        <w:drawing>
          <wp:inline distT="0" distB="0" distL="114300" distR="114300">
            <wp:extent cx="7281545" cy="5276215"/>
            <wp:effectExtent l="0" t="0" r="14605" b="6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8"/>
                    <a:stretch>
                      <a:fillRect/>
                    </a:stretch>
                  </pic:blipFill>
                  <pic:spPr>
                    <a:xfrm>
                      <a:off x="0" y="0"/>
                      <a:ext cx="7281545" cy="5276215"/>
                    </a:xfrm>
                    <a:prstGeom prst="rect">
                      <a:avLst/>
                    </a:prstGeom>
                    <a:noFill/>
                    <a:ln>
                      <a:noFill/>
                    </a:ln>
                  </pic:spPr>
                </pic:pic>
              </a:graphicData>
            </a:graphic>
          </wp:inline>
        </w:drawing>
      </w:r>
    </w:p>
    <w:p>
      <w:pPr>
        <w:pStyle w:val="2"/>
      </w:pPr>
      <w:r>
        <w:rPr>
          <w:sz w:val="21"/>
        </w:rPr>
        <mc:AlternateContent>
          <mc:Choice Requires="wps">
            <w:drawing>
              <wp:anchor distT="0" distB="0" distL="114300" distR="114300" simplePos="0" relativeHeight="251685888" behindDoc="0" locked="0" layoutInCell="1" allowOverlap="1">
                <wp:simplePos x="0" y="0"/>
                <wp:positionH relativeFrom="column">
                  <wp:posOffset>1263015</wp:posOffset>
                </wp:positionH>
                <wp:positionV relativeFrom="paragraph">
                  <wp:posOffset>7906385</wp:posOffset>
                </wp:positionV>
                <wp:extent cx="3152775" cy="276225"/>
                <wp:effectExtent l="0" t="0" r="9525" b="9525"/>
                <wp:wrapNone/>
                <wp:docPr id="23" name="矩形 23"/>
                <wp:cNvGraphicFramePr/>
                <a:graphic xmlns:a="http://schemas.openxmlformats.org/drawingml/2006/main">
                  <a:graphicData uri="http://schemas.microsoft.com/office/word/2010/wordprocessingShape">
                    <wps:wsp>
                      <wps:cNvSpPr/>
                      <wps:spPr>
                        <a:xfrm>
                          <a:off x="0" y="0"/>
                          <a:ext cx="315277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24"/>
                              </w:rPr>
                            </w:pPr>
                            <w:r>
                              <w:rPr>
                                <w:rFonts w:hint="eastAsia"/>
                                <w:b/>
                                <w:bCs/>
                                <w:sz w:val="24"/>
                              </w:rPr>
                              <w:t>附图二：项目平面位置图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45pt;margin-top:622.55pt;height:21.75pt;width:248.25pt;z-index:251685888;v-text-anchor:middle;mso-width-relative:page;mso-height-relative:page;" fillcolor="#FFFFFF [3201]" filled="t" stroked="f" coordsize="21600,21600" o:gfxdata="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F/HqtsAAAANAQAADwAAAAAAAAABACAAAAAiAAAAZHJz&#10;L2Rvd25yZXYueG1sUEsBAhQAFAAAAAgAh07iQDSJwGtzAgAA2AQAAA4AAAAAAAAAAQAgAAAAKgEA&#10;AGRycy9lMm9Eb2MueG1sUEsFBgAAAAAGAAYAWQEAAA8GAAAAAA==&#10;">
                <v:fill on="t" focussize="0,0"/>
                <v:stroke on="f" weight="1pt" miterlimit="8" joinstyle="miter"/>
                <v:imagedata o:title=""/>
                <o:lock v:ext="edit" aspectratio="f"/>
                <v:textbox>
                  <w:txbxContent>
                    <w:p>
                      <w:pPr>
                        <w:jc w:val="center"/>
                        <w:rPr>
                          <w:b/>
                          <w:bCs/>
                          <w:sz w:val="24"/>
                        </w:rPr>
                      </w:pPr>
                      <w:r>
                        <w:rPr>
                          <w:rFonts w:hint="eastAsia"/>
                          <w:b/>
                          <w:bCs/>
                          <w:sz w:val="24"/>
                        </w:rPr>
                        <w:t>附图二：项目平面位置图</w:t>
                      </w:r>
                    </w:p>
                  </w:txbxContent>
                </v:textbox>
              </v:rect>
            </w:pict>
          </mc:Fallback>
        </mc:AlternateContent>
      </w:r>
      <w:r>
        <w:drawing>
          <wp:inline distT="0" distB="0" distL="114300" distR="114300">
            <wp:extent cx="5286375" cy="7531735"/>
            <wp:effectExtent l="0" t="0" r="9525" b="1206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9"/>
                    <a:stretch>
                      <a:fillRect/>
                    </a:stretch>
                  </pic:blipFill>
                  <pic:spPr>
                    <a:xfrm>
                      <a:off x="0" y="0"/>
                      <a:ext cx="5286375" cy="7531735"/>
                    </a:xfrm>
                    <a:prstGeom prst="rect">
                      <a:avLst/>
                    </a:prstGeom>
                    <a:noFill/>
                    <a:ln>
                      <a:noFill/>
                    </a:ln>
                  </pic:spPr>
                </pic:pic>
              </a:graphicData>
            </a:graphic>
          </wp:inline>
        </w:drawing>
      </w:r>
    </w:p>
    <w:sectPr>
      <w:pgSz w:w="11906" w:h="16838"/>
      <w:pgMar w:top="1304"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rFonts w:hint="eastAsia" w:ascii="宋体" w:hAnsi="宋体"/>
        <w:sz w:val="21"/>
        <w:szCs w:val="21"/>
      </w:rPr>
      <w:t xml:space="preserve">       </w:t>
    </w:r>
    <w:r>
      <w:rPr>
        <w:rFonts w:hint="eastAsia"/>
      </w:rPr>
      <w:t xml:space="preserve"> </w:t>
    </w:r>
    <w:r>
      <w:t xml:space="preserve">       </w:t>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rFonts w:hint="eastAsia" w:ascii="宋体" w:hAnsi="宋体"/>
        <w:sz w:val="21"/>
        <w:szCs w:val="21"/>
      </w:rPr>
      <w:t xml:space="preserve">       </w:t>
    </w:r>
    <w:r>
      <w:rPr>
        <w:rFonts w:hint="eastAsia"/>
      </w:rPr>
      <w:t xml:space="preserve"> </w:t>
    </w:r>
    <w:r>
      <w:t xml:space="preserve">       </w:t>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lang w:val="zh-CN"/>
      </w:rPr>
      <w:t>安徽省振兴节能科技有限公司玻璃深加工项目</w:t>
    </w:r>
    <w:r>
      <w:rPr>
        <w:rFonts w:hint="eastAsia"/>
      </w:rPr>
      <w:t>竣工环境保护验收监测表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A4B607"/>
    <w:multiLevelType w:val="singleLevel"/>
    <w:tmpl w:val="22A4B60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1D27F2"/>
    <w:rsid w:val="001D76DC"/>
    <w:rsid w:val="00201EB5"/>
    <w:rsid w:val="00256004"/>
    <w:rsid w:val="003527FA"/>
    <w:rsid w:val="00376F48"/>
    <w:rsid w:val="0039544A"/>
    <w:rsid w:val="003B3044"/>
    <w:rsid w:val="003D3D13"/>
    <w:rsid w:val="003E5C28"/>
    <w:rsid w:val="0040152F"/>
    <w:rsid w:val="004C7213"/>
    <w:rsid w:val="005B1F3F"/>
    <w:rsid w:val="006012FB"/>
    <w:rsid w:val="008145CD"/>
    <w:rsid w:val="008505C0"/>
    <w:rsid w:val="00860940"/>
    <w:rsid w:val="008D2BCB"/>
    <w:rsid w:val="009179DA"/>
    <w:rsid w:val="00921AE1"/>
    <w:rsid w:val="00AC6FE8"/>
    <w:rsid w:val="00AC7487"/>
    <w:rsid w:val="00B177C2"/>
    <w:rsid w:val="00B77CDF"/>
    <w:rsid w:val="00BD0CFC"/>
    <w:rsid w:val="00BE43DF"/>
    <w:rsid w:val="00C0371D"/>
    <w:rsid w:val="00C34BE2"/>
    <w:rsid w:val="00CA0A14"/>
    <w:rsid w:val="00CD68EB"/>
    <w:rsid w:val="00CF37A6"/>
    <w:rsid w:val="00D117BF"/>
    <w:rsid w:val="00D26A13"/>
    <w:rsid w:val="00EB32AE"/>
    <w:rsid w:val="00F06294"/>
    <w:rsid w:val="00FC4A66"/>
    <w:rsid w:val="01091134"/>
    <w:rsid w:val="0146023E"/>
    <w:rsid w:val="017144FE"/>
    <w:rsid w:val="01DB7ED5"/>
    <w:rsid w:val="020C3C92"/>
    <w:rsid w:val="0221133D"/>
    <w:rsid w:val="022F47EA"/>
    <w:rsid w:val="025D1D97"/>
    <w:rsid w:val="02782FA4"/>
    <w:rsid w:val="028B18FB"/>
    <w:rsid w:val="028E3326"/>
    <w:rsid w:val="02B166B8"/>
    <w:rsid w:val="037E1329"/>
    <w:rsid w:val="0389128F"/>
    <w:rsid w:val="03D678F9"/>
    <w:rsid w:val="040623F6"/>
    <w:rsid w:val="040A7F87"/>
    <w:rsid w:val="04295DF7"/>
    <w:rsid w:val="043D4E77"/>
    <w:rsid w:val="0470302D"/>
    <w:rsid w:val="048324F1"/>
    <w:rsid w:val="04E32284"/>
    <w:rsid w:val="05834FEA"/>
    <w:rsid w:val="059C1AC4"/>
    <w:rsid w:val="05AD7DDA"/>
    <w:rsid w:val="05B11678"/>
    <w:rsid w:val="05BB2205"/>
    <w:rsid w:val="05C3315A"/>
    <w:rsid w:val="05E507B0"/>
    <w:rsid w:val="062C149D"/>
    <w:rsid w:val="06654C3F"/>
    <w:rsid w:val="073249B6"/>
    <w:rsid w:val="074B498D"/>
    <w:rsid w:val="07672D68"/>
    <w:rsid w:val="0779320B"/>
    <w:rsid w:val="07D7440E"/>
    <w:rsid w:val="07E64230"/>
    <w:rsid w:val="08266413"/>
    <w:rsid w:val="08945E6B"/>
    <w:rsid w:val="08A930EF"/>
    <w:rsid w:val="094162F8"/>
    <w:rsid w:val="09494685"/>
    <w:rsid w:val="097B7756"/>
    <w:rsid w:val="09876897"/>
    <w:rsid w:val="09A20A76"/>
    <w:rsid w:val="09E13055"/>
    <w:rsid w:val="09FE0D33"/>
    <w:rsid w:val="0A1C020D"/>
    <w:rsid w:val="0A6225BA"/>
    <w:rsid w:val="0A7900C3"/>
    <w:rsid w:val="0A8530D4"/>
    <w:rsid w:val="0A9F4C8B"/>
    <w:rsid w:val="0AC43BFC"/>
    <w:rsid w:val="0B081ED2"/>
    <w:rsid w:val="0B886D52"/>
    <w:rsid w:val="0BCF174F"/>
    <w:rsid w:val="0BDC19AA"/>
    <w:rsid w:val="0C176872"/>
    <w:rsid w:val="0C1C53CF"/>
    <w:rsid w:val="0C24453C"/>
    <w:rsid w:val="0C4A6F37"/>
    <w:rsid w:val="0C7675D7"/>
    <w:rsid w:val="0CC30807"/>
    <w:rsid w:val="0CD96E88"/>
    <w:rsid w:val="0D10137A"/>
    <w:rsid w:val="0D314E4D"/>
    <w:rsid w:val="0D653E4D"/>
    <w:rsid w:val="0D664660"/>
    <w:rsid w:val="0D7133E5"/>
    <w:rsid w:val="0D757960"/>
    <w:rsid w:val="0D831DDC"/>
    <w:rsid w:val="0D9E2F0B"/>
    <w:rsid w:val="0DA328FF"/>
    <w:rsid w:val="0DAA711C"/>
    <w:rsid w:val="0DBA400C"/>
    <w:rsid w:val="0DDB0902"/>
    <w:rsid w:val="0DF52FF7"/>
    <w:rsid w:val="0DFA5B87"/>
    <w:rsid w:val="0E2A4914"/>
    <w:rsid w:val="0E547754"/>
    <w:rsid w:val="0E6F284D"/>
    <w:rsid w:val="0EBC16D6"/>
    <w:rsid w:val="0EC763FE"/>
    <w:rsid w:val="0F2A0546"/>
    <w:rsid w:val="0F5E118C"/>
    <w:rsid w:val="0FC474A1"/>
    <w:rsid w:val="0FDE06A7"/>
    <w:rsid w:val="0FE4089C"/>
    <w:rsid w:val="0FEA1C63"/>
    <w:rsid w:val="0FF7237E"/>
    <w:rsid w:val="10077B73"/>
    <w:rsid w:val="103C3C96"/>
    <w:rsid w:val="107717F0"/>
    <w:rsid w:val="107966F3"/>
    <w:rsid w:val="10A90249"/>
    <w:rsid w:val="10D4363A"/>
    <w:rsid w:val="10DE353E"/>
    <w:rsid w:val="11496C09"/>
    <w:rsid w:val="11575084"/>
    <w:rsid w:val="11862D9D"/>
    <w:rsid w:val="119A0E74"/>
    <w:rsid w:val="11BE5695"/>
    <w:rsid w:val="11D71834"/>
    <w:rsid w:val="11D864AC"/>
    <w:rsid w:val="124C59E0"/>
    <w:rsid w:val="12774399"/>
    <w:rsid w:val="12850115"/>
    <w:rsid w:val="12906AA5"/>
    <w:rsid w:val="129C0A43"/>
    <w:rsid w:val="12E72CAF"/>
    <w:rsid w:val="12ED26E9"/>
    <w:rsid w:val="12F82FC9"/>
    <w:rsid w:val="138D295A"/>
    <w:rsid w:val="13C13CDD"/>
    <w:rsid w:val="13ED1F46"/>
    <w:rsid w:val="1421121E"/>
    <w:rsid w:val="14B911D4"/>
    <w:rsid w:val="14BF381B"/>
    <w:rsid w:val="14FA2559"/>
    <w:rsid w:val="152139F9"/>
    <w:rsid w:val="15983DF5"/>
    <w:rsid w:val="15B23F72"/>
    <w:rsid w:val="15C119D7"/>
    <w:rsid w:val="15C959BE"/>
    <w:rsid w:val="15E255D4"/>
    <w:rsid w:val="1639104D"/>
    <w:rsid w:val="167B5BF7"/>
    <w:rsid w:val="16A61610"/>
    <w:rsid w:val="16EF5726"/>
    <w:rsid w:val="173550CB"/>
    <w:rsid w:val="177B7F08"/>
    <w:rsid w:val="17EC4792"/>
    <w:rsid w:val="17F35C5E"/>
    <w:rsid w:val="17FD1E09"/>
    <w:rsid w:val="180670B0"/>
    <w:rsid w:val="180F3ED1"/>
    <w:rsid w:val="184E6CDE"/>
    <w:rsid w:val="185B6091"/>
    <w:rsid w:val="18805E7C"/>
    <w:rsid w:val="18810FFD"/>
    <w:rsid w:val="18DA283C"/>
    <w:rsid w:val="18E84F29"/>
    <w:rsid w:val="194F57ED"/>
    <w:rsid w:val="19661D2E"/>
    <w:rsid w:val="19827C51"/>
    <w:rsid w:val="199D5AD0"/>
    <w:rsid w:val="19B27B6F"/>
    <w:rsid w:val="19DE634B"/>
    <w:rsid w:val="1A5C6D79"/>
    <w:rsid w:val="1A6D025B"/>
    <w:rsid w:val="1ACE194B"/>
    <w:rsid w:val="1AE55935"/>
    <w:rsid w:val="1AEC1AE2"/>
    <w:rsid w:val="1AF51058"/>
    <w:rsid w:val="1B1C0C69"/>
    <w:rsid w:val="1B1E0B3D"/>
    <w:rsid w:val="1BB56016"/>
    <w:rsid w:val="1BE04E96"/>
    <w:rsid w:val="1BE926C2"/>
    <w:rsid w:val="1C2621B8"/>
    <w:rsid w:val="1C94072F"/>
    <w:rsid w:val="1CF21174"/>
    <w:rsid w:val="1D126A49"/>
    <w:rsid w:val="1D3121CF"/>
    <w:rsid w:val="1D446783"/>
    <w:rsid w:val="1D847BD3"/>
    <w:rsid w:val="1DAC0C4B"/>
    <w:rsid w:val="1DD90591"/>
    <w:rsid w:val="1DE22681"/>
    <w:rsid w:val="1E1E38E8"/>
    <w:rsid w:val="1E3E06E3"/>
    <w:rsid w:val="1E5537AE"/>
    <w:rsid w:val="1E5B50AF"/>
    <w:rsid w:val="1E5C7883"/>
    <w:rsid w:val="1E6C2937"/>
    <w:rsid w:val="1E8D014B"/>
    <w:rsid w:val="1E992DAB"/>
    <w:rsid w:val="1F242F50"/>
    <w:rsid w:val="1F3A211C"/>
    <w:rsid w:val="1F79061A"/>
    <w:rsid w:val="1F8778ED"/>
    <w:rsid w:val="1F98054E"/>
    <w:rsid w:val="1FE5239F"/>
    <w:rsid w:val="1FEC262D"/>
    <w:rsid w:val="2006097B"/>
    <w:rsid w:val="203F1801"/>
    <w:rsid w:val="208B1F1D"/>
    <w:rsid w:val="20A14148"/>
    <w:rsid w:val="20BE2DEF"/>
    <w:rsid w:val="20DE58FD"/>
    <w:rsid w:val="20FC7160"/>
    <w:rsid w:val="21417DE1"/>
    <w:rsid w:val="21491731"/>
    <w:rsid w:val="218F0AEF"/>
    <w:rsid w:val="21B52099"/>
    <w:rsid w:val="21B5381F"/>
    <w:rsid w:val="21F04C68"/>
    <w:rsid w:val="220A5F40"/>
    <w:rsid w:val="22107174"/>
    <w:rsid w:val="22623FCE"/>
    <w:rsid w:val="228C5736"/>
    <w:rsid w:val="22F73C11"/>
    <w:rsid w:val="230359DC"/>
    <w:rsid w:val="23345F9D"/>
    <w:rsid w:val="234112FF"/>
    <w:rsid w:val="23450E8B"/>
    <w:rsid w:val="23457389"/>
    <w:rsid w:val="235F1F20"/>
    <w:rsid w:val="236C5C1F"/>
    <w:rsid w:val="23B21E9F"/>
    <w:rsid w:val="23C6233B"/>
    <w:rsid w:val="23FC721F"/>
    <w:rsid w:val="242409D3"/>
    <w:rsid w:val="24410244"/>
    <w:rsid w:val="244D11E4"/>
    <w:rsid w:val="2454745E"/>
    <w:rsid w:val="248B158D"/>
    <w:rsid w:val="249606CC"/>
    <w:rsid w:val="24B2051E"/>
    <w:rsid w:val="2516721D"/>
    <w:rsid w:val="25957441"/>
    <w:rsid w:val="25ED4D6A"/>
    <w:rsid w:val="263D1EE6"/>
    <w:rsid w:val="26467763"/>
    <w:rsid w:val="264F41A9"/>
    <w:rsid w:val="265F2034"/>
    <w:rsid w:val="271A0926"/>
    <w:rsid w:val="27255609"/>
    <w:rsid w:val="272E622C"/>
    <w:rsid w:val="273620EC"/>
    <w:rsid w:val="273D2C82"/>
    <w:rsid w:val="27D86AE1"/>
    <w:rsid w:val="27E15995"/>
    <w:rsid w:val="27F85503"/>
    <w:rsid w:val="28270E0A"/>
    <w:rsid w:val="285E3A07"/>
    <w:rsid w:val="28734951"/>
    <w:rsid w:val="28B60BD0"/>
    <w:rsid w:val="28D813A4"/>
    <w:rsid w:val="28DF17A9"/>
    <w:rsid w:val="28ED036A"/>
    <w:rsid w:val="28F9572B"/>
    <w:rsid w:val="28FB3E04"/>
    <w:rsid w:val="29011B90"/>
    <w:rsid w:val="29110504"/>
    <w:rsid w:val="29475078"/>
    <w:rsid w:val="29A951C1"/>
    <w:rsid w:val="2A500ACA"/>
    <w:rsid w:val="2AB078A1"/>
    <w:rsid w:val="2ACE78BC"/>
    <w:rsid w:val="2B3B22D8"/>
    <w:rsid w:val="2B4A5C8D"/>
    <w:rsid w:val="2B6646B5"/>
    <w:rsid w:val="2B8051D4"/>
    <w:rsid w:val="2C131B25"/>
    <w:rsid w:val="2C4B0E3C"/>
    <w:rsid w:val="2C5408BD"/>
    <w:rsid w:val="2C5B5DDC"/>
    <w:rsid w:val="2C9D3B79"/>
    <w:rsid w:val="2CB2198B"/>
    <w:rsid w:val="2CF07ACC"/>
    <w:rsid w:val="2D2661A7"/>
    <w:rsid w:val="2D3148C5"/>
    <w:rsid w:val="2D59193B"/>
    <w:rsid w:val="2D831F86"/>
    <w:rsid w:val="2DBD09DD"/>
    <w:rsid w:val="2DCA3251"/>
    <w:rsid w:val="2DDB13D1"/>
    <w:rsid w:val="2DE12FFC"/>
    <w:rsid w:val="2DFD4B91"/>
    <w:rsid w:val="2DFF5BAB"/>
    <w:rsid w:val="2E3544A7"/>
    <w:rsid w:val="2E36291B"/>
    <w:rsid w:val="2E636D13"/>
    <w:rsid w:val="2EA172A3"/>
    <w:rsid w:val="2EAE37EA"/>
    <w:rsid w:val="2EC426E9"/>
    <w:rsid w:val="2EFD195C"/>
    <w:rsid w:val="2F4431A2"/>
    <w:rsid w:val="2F6E0D9C"/>
    <w:rsid w:val="2F6E3810"/>
    <w:rsid w:val="2F9D02FA"/>
    <w:rsid w:val="2F9E5964"/>
    <w:rsid w:val="30405223"/>
    <w:rsid w:val="30413E55"/>
    <w:rsid w:val="304C6D5E"/>
    <w:rsid w:val="30632BA3"/>
    <w:rsid w:val="30896A61"/>
    <w:rsid w:val="308B2942"/>
    <w:rsid w:val="30962F81"/>
    <w:rsid w:val="30A02591"/>
    <w:rsid w:val="30C9346B"/>
    <w:rsid w:val="30CE62E5"/>
    <w:rsid w:val="30EE1F19"/>
    <w:rsid w:val="31311CC4"/>
    <w:rsid w:val="317C32E0"/>
    <w:rsid w:val="31BD62B4"/>
    <w:rsid w:val="31C92200"/>
    <w:rsid w:val="31F932F4"/>
    <w:rsid w:val="32063003"/>
    <w:rsid w:val="32131EEB"/>
    <w:rsid w:val="32322B63"/>
    <w:rsid w:val="324F7F64"/>
    <w:rsid w:val="32763667"/>
    <w:rsid w:val="327D450D"/>
    <w:rsid w:val="3296143E"/>
    <w:rsid w:val="32A0644D"/>
    <w:rsid w:val="32AE1C9A"/>
    <w:rsid w:val="32DC121D"/>
    <w:rsid w:val="32F10C83"/>
    <w:rsid w:val="33024A12"/>
    <w:rsid w:val="335D316A"/>
    <w:rsid w:val="3384313D"/>
    <w:rsid w:val="33971E80"/>
    <w:rsid w:val="33AD68BF"/>
    <w:rsid w:val="33F16F60"/>
    <w:rsid w:val="33FB7DC1"/>
    <w:rsid w:val="344A48C2"/>
    <w:rsid w:val="346F4329"/>
    <w:rsid w:val="34B738F0"/>
    <w:rsid w:val="34CA7AFE"/>
    <w:rsid w:val="34D80811"/>
    <w:rsid w:val="34DC28B3"/>
    <w:rsid w:val="34EE16F2"/>
    <w:rsid w:val="34EE2680"/>
    <w:rsid w:val="350F3F29"/>
    <w:rsid w:val="35493195"/>
    <w:rsid w:val="359030DD"/>
    <w:rsid w:val="35946D26"/>
    <w:rsid w:val="35C979A8"/>
    <w:rsid w:val="35CF385C"/>
    <w:rsid w:val="35EC7A24"/>
    <w:rsid w:val="360D3DFA"/>
    <w:rsid w:val="36177859"/>
    <w:rsid w:val="362F4C19"/>
    <w:rsid w:val="36585765"/>
    <w:rsid w:val="3669733E"/>
    <w:rsid w:val="36704385"/>
    <w:rsid w:val="3684197B"/>
    <w:rsid w:val="36B81292"/>
    <w:rsid w:val="371B2546"/>
    <w:rsid w:val="37244EF9"/>
    <w:rsid w:val="3735376E"/>
    <w:rsid w:val="376749C7"/>
    <w:rsid w:val="378C1C8D"/>
    <w:rsid w:val="379779C5"/>
    <w:rsid w:val="37A11CBC"/>
    <w:rsid w:val="37B40A4F"/>
    <w:rsid w:val="37DC06CA"/>
    <w:rsid w:val="37EC4308"/>
    <w:rsid w:val="38335D47"/>
    <w:rsid w:val="383B53FB"/>
    <w:rsid w:val="389251A3"/>
    <w:rsid w:val="38AF6663"/>
    <w:rsid w:val="39301CF2"/>
    <w:rsid w:val="393022D9"/>
    <w:rsid w:val="3939029D"/>
    <w:rsid w:val="397E1322"/>
    <w:rsid w:val="39930144"/>
    <w:rsid w:val="39CD06FB"/>
    <w:rsid w:val="3A3E3214"/>
    <w:rsid w:val="3A802DEC"/>
    <w:rsid w:val="3A9861D5"/>
    <w:rsid w:val="3A9C3A1A"/>
    <w:rsid w:val="3AC61A13"/>
    <w:rsid w:val="3ACF0012"/>
    <w:rsid w:val="3AD669B5"/>
    <w:rsid w:val="3B193BD1"/>
    <w:rsid w:val="3B587441"/>
    <w:rsid w:val="3BB43CE1"/>
    <w:rsid w:val="3BB6283D"/>
    <w:rsid w:val="3BCA25CC"/>
    <w:rsid w:val="3BD83331"/>
    <w:rsid w:val="3C371BD0"/>
    <w:rsid w:val="3C562490"/>
    <w:rsid w:val="3C636F12"/>
    <w:rsid w:val="3C6475E5"/>
    <w:rsid w:val="3C6607A5"/>
    <w:rsid w:val="3C7948D0"/>
    <w:rsid w:val="3C8A1627"/>
    <w:rsid w:val="3CA45BBE"/>
    <w:rsid w:val="3CB74ABF"/>
    <w:rsid w:val="3CD1730E"/>
    <w:rsid w:val="3CD72D77"/>
    <w:rsid w:val="3D072721"/>
    <w:rsid w:val="3D4925A6"/>
    <w:rsid w:val="3DE176FC"/>
    <w:rsid w:val="3E05003B"/>
    <w:rsid w:val="3E0C34FC"/>
    <w:rsid w:val="3E395213"/>
    <w:rsid w:val="3E56125B"/>
    <w:rsid w:val="3E7463F0"/>
    <w:rsid w:val="3E9C2A99"/>
    <w:rsid w:val="3EC83031"/>
    <w:rsid w:val="3EF14DAC"/>
    <w:rsid w:val="3EFF4CF2"/>
    <w:rsid w:val="3F632778"/>
    <w:rsid w:val="3F640876"/>
    <w:rsid w:val="3F731171"/>
    <w:rsid w:val="3F7F5F4F"/>
    <w:rsid w:val="3F89380B"/>
    <w:rsid w:val="3F8C0CD8"/>
    <w:rsid w:val="3FB5328E"/>
    <w:rsid w:val="3FB64B1A"/>
    <w:rsid w:val="4009752E"/>
    <w:rsid w:val="402E5098"/>
    <w:rsid w:val="40646D0C"/>
    <w:rsid w:val="411257BA"/>
    <w:rsid w:val="418E69DA"/>
    <w:rsid w:val="41B23691"/>
    <w:rsid w:val="41B5236D"/>
    <w:rsid w:val="41BD37EE"/>
    <w:rsid w:val="41FC3D07"/>
    <w:rsid w:val="425D3590"/>
    <w:rsid w:val="42A763CE"/>
    <w:rsid w:val="42AF5E14"/>
    <w:rsid w:val="42C65B40"/>
    <w:rsid w:val="42D37365"/>
    <w:rsid w:val="42DC6025"/>
    <w:rsid w:val="42E76057"/>
    <w:rsid w:val="431047E8"/>
    <w:rsid w:val="43D45F57"/>
    <w:rsid w:val="43EB0B07"/>
    <w:rsid w:val="442A5C2F"/>
    <w:rsid w:val="443C7566"/>
    <w:rsid w:val="44766710"/>
    <w:rsid w:val="44C32AEC"/>
    <w:rsid w:val="45524055"/>
    <w:rsid w:val="455D5B77"/>
    <w:rsid w:val="45D27F77"/>
    <w:rsid w:val="45DE0F0F"/>
    <w:rsid w:val="45F2644B"/>
    <w:rsid w:val="45F43588"/>
    <w:rsid w:val="45F87CFA"/>
    <w:rsid w:val="460E6E77"/>
    <w:rsid w:val="46264232"/>
    <w:rsid w:val="469502A3"/>
    <w:rsid w:val="46D8299D"/>
    <w:rsid w:val="46E93AC7"/>
    <w:rsid w:val="47025732"/>
    <w:rsid w:val="470E08A8"/>
    <w:rsid w:val="47631FC5"/>
    <w:rsid w:val="477B16A3"/>
    <w:rsid w:val="477E60CB"/>
    <w:rsid w:val="47C46AD4"/>
    <w:rsid w:val="47D92060"/>
    <w:rsid w:val="4867479A"/>
    <w:rsid w:val="489021FE"/>
    <w:rsid w:val="48A06616"/>
    <w:rsid w:val="48B4573D"/>
    <w:rsid w:val="48C052CA"/>
    <w:rsid w:val="48C81593"/>
    <w:rsid w:val="492A5003"/>
    <w:rsid w:val="49D37B0D"/>
    <w:rsid w:val="49FC672D"/>
    <w:rsid w:val="4A490D6E"/>
    <w:rsid w:val="4AB61C14"/>
    <w:rsid w:val="4AF628F5"/>
    <w:rsid w:val="4B312170"/>
    <w:rsid w:val="4B335C59"/>
    <w:rsid w:val="4B3D1A2D"/>
    <w:rsid w:val="4B3F45FD"/>
    <w:rsid w:val="4B5B1ACA"/>
    <w:rsid w:val="4B7F4DCB"/>
    <w:rsid w:val="4B987EB8"/>
    <w:rsid w:val="4BAD461C"/>
    <w:rsid w:val="4BDD44A6"/>
    <w:rsid w:val="4C5A2399"/>
    <w:rsid w:val="4C634839"/>
    <w:rsid w:val="4C7272CF"/>
    <w:rsid w:val="4CA33DDB"/>
    <w:rsid w:val="4CC53E31"/>
    <w:rsid w:val="4CF304AF"/>
    <w:rsid w:val="4D53115A"/>
    <w:rsid w:val="4D6E37E0"/>
    <w:rsid w:val="4D894BF5"/>
    <w:rsid w:val="4DBF2ACB"/>
    <w:rsid w:val="4DEE7E0C"/>
    <w:rsid w:val="4E1D3B31"/>
    <w:rsid w:val="4E5802A8"/>
    <w:rsid w:val="4E8D38D2"/>
    <w:rsid w:val="4EDE7C89"/>
    <w:rsid w:val="4EE94FED"/>
    <w:rsid w:val="4EF30C48"/>
    <w:rsid w:val="4F0E4BB9"/>
    <w:rsid w:val="4F1B2AD9"/>
    <w:rsid w:val="4F547F1A"/>
    <w:rsid w:val="4F9D7976"/>
    <w:rsid w:val="4FD25A40"/>
    <w:rsid w:val="4FFD3A29"/>
    <w:rsid w:val="50093445"/>
    <w:rsid w:val="503D5C37"/>
    <w:rsid w:val="50764CB1"/>
    <w:rsid w:val="508D0DF0"/>
    <w:rsid w:val="50912B49"/>
    <w:rsid w:val="50C17CA8"/>
    <w:rsid w:val="51246850"/>
    <w:rsid w:val="51285D72"/>
    <w:rsid w:val="515F1555"/>
    <w:rsid w:val="51903341"/>
    <w:rsid w:val="51A33B82"/>
    <w:rsid w:val="51B96F4F"/>
    <w:rsid w:val="51D35128"/>
    <w:rsid w:val="51FF6B3A"/>
    <w:rsid w:val="52085699"/>
    <w:rsid w:val="5210398D"/>
    <w:rsid w:val="522032DD"/>
    <w:rsid w:val="524A66FF"/>
    <w:rsid w:val="52511436"/>
    <w:rsid w:val="52933B2D"/>
    <w:rsid w:val="52AA22FE"/>
    <w:rsid w:val="52FF5C2F"/>
    <w:rsid w:val="53095C1D"/>
    <w:rsid w:val="531B6F95"/>
    <w:rsid w:val="5360454E"/>
    <w:rsid w:val="53D55436"/>
    <w:rsid w:val="53ED440D"/>
    <w:rsid w:val="53FB0A60"/>
    <w:rsid w:val="54004597"/>
    <w:rsid w:val="54151180"/>
    <w:rsid w:val="545905B5"/>
    <w:rsid w:val="545B2980"/>
    <w:rsid w:val="545D726F"/>
    <w:rsid w:val="54790B80"/>
    <w:rsid w:val="549A6186"/>
    <w:rsid w:val="54A24231"/>
    <w:rsid w:val="54F62F4B"/>
    <w:rsid w:val="5564428B"/>
    <w:rsid w:val="55A67239"/>
    <w:rsid w:val="55AC0BD4"/>
    <w:rsid w:val="55BE7B7F"/>
    <w:rsid w:val="55C20305"/>
    <w:rsid w:val="56003D5A"/>
    <w:rsid w:val="561501D9"/>
    <w:rsid w:val="561A590F"/>
    <w:rsid w:val="56255FEA"/>
    <w:rsid w:val="56304F65"/>
    <w:rsid w:val="56715BD1"/>
    <w:rsid w:val="568C6C08"/>
    <w:rsid w:val="568C7A6F"/>
    <w:rsid w:val="56D23B80"/>
    <w:rsid w:val="56D76149"/>
    <w:rsid w:val="56EC2BC8"/>
    <w:rsid w:val="573E256B"/>
    <w:rsid w:val="57490FA1"/>
    <w:rsid w:val="57607076"/>
    <w:rsid w:val="57FB7AFE"/>
    <w:rsid w:val="589917F1"/>
    <w:rsid w:val="58BD134E"/>
    <w:rsid w:val="58BD32DE"/>
    <w:rsid w:val="58CA2E53"/>
    <w:rsid w:val="59307EA0"/>
    <w:rsid w:val="598825BE"/>
    <w:rsid w:val="59BB1A06"/>
    <w:rsid w:val="59ED1C34"/>
    <w:rsid w:val="5A690101"/>
    <w:rsid w:val="5A7F4C3D"/>
    <w:rsid w:val="5A9529D4"/>
    <w:rsid w:val="5A986B4B"/>
    <w:rsid w:val="5A9A2B21"/>
    <w:rsid w:val="5ADC6AE2"/>
    <w:rsid w:val="5AE25150"/>
    <w:rsid w:val="5AF3252F"/>
    <w:rsid w:val="5B383902"/>
    <w:rsid w:val="5B5D73F0"/>
    <w:rsid w:val="5BA134B6"/>
    <w:rsid w:val="5BC07BFA"/>
    <w:rsid w:val="5BD16D82"/>
    <w:rsid w:val="5BD33CDD"/>
    <w:rsid w:val="5BE76FFB"/>
    <w:rsid w:val="5C1C50CD"/>
    <w:rsid w:val="5C47476A"/>
    <w:rsid w:val="5C583771"/>
    <w:rsid w:val="5CA57031"/>
    <w:rsid w:val="5CBF2C7E"/>
    <w:rsid w:val="5D195645"/>
    <w:rsid w:val="5D3248AD"/>
    <w:rsid w:val="5D507659"/>
    <w:rsid w:val="5D653C85"/>
    <w:rsid w:val="5D852344"/>
    <w:rsid w:val="5D875F2C"/>
    <w:rsid w:val="5DB2327F"/>
    <w:rsid w:val="5DE479EF"/>
    <w:rsid w:val="5E345B18"/>
    <w:rsid w:val="5E4A16C1"/>
    <w:rsid w:val="5E5B4E53"/>
    <w:rsid w:val="5EEB75A3"/>
    <w:rsid w:val="5FB306B5"/>
    <w:rsid w:val="5FE904FE"/>
    <w:rsid w:val="5FF015D8"/>
    <w:rsid w:val="60101DCA"/>
    <w:rsid w:val="6022653F"/>
    <w:rsid w:val="6023479D"/>
    <w:rsid w:val="602F7F08"/>
    <w:rsid w:val="606652B0"/>
    <w:rsid w:val="606F6590"/>
    <w:rsid w:val="609A5165"/>
    <w:rsid w:val="60AF4D88"/>
    <w:rsid w:val="60C7612D"/>
    <w:rsid w:val="60CC7F22"/>
    <w:rsid w:val="60E8042A"/>
    <w:rsid w:val="60ED7176"/>
    <w:rsid w:val="61373210"/>
    <w:rsid w:val="61525162"/>
    <w:rsid w:val="61930E66"/>
    <w:rsid w:val="61A91026"/>
    <w:rsid w:val="61F950AE"/>
    <w:rsid w:val="61FF421D"/>
    <w:rsid w:val="620D7FCE"/>
    <w:rsid w:val="62901C4D"/>
    <w:rsid w:val="62BF2C47"/>
    <w:rsid w:val="62E23D94"/>
    <w:rsid w:val="63042D15"/>
    <w:rsid w:val="633B67B0"/>
    <w:rsid w:val="633D498D"/>
    <w:rsid w:val="634217FC"/>
    <w:rsid w:val="634A2CFC"/>
    <w:rsid w:val="63A84FDC"/>
    <w:rsid w:val="63F1427D"/>
    <w:rsid w:val="642F4DB7"/>
    <w:rsid w:val="64524ABB"/>
    <w:rsid w:val="64581A81"/>
    <w:rsid w:val="64740A1C"/>
    <w:rsid w:val="648570CD"/>
    <w:rsid w:val="649D0177"/>
    <w:rsid w:val="64F37E14"/>
    <w:rsid w:val="652A2F1B"/>
    <w:rsid w:val="652C579B"/>
    <w:rsid w:val="653B5181"/>
    <w:rsid w:val="65443F2B"/>
    <w:rsid w:val="656920ED"/>
    <w:rsid w:val="658F6997"/>
    <w:rsid w:val="65CD5885"/>
    <w:rsid w:val="66101BE1"/>
    <w:rsid w:val="6622388A"/>
    <w:rsid w:val="66372720"/>
    <w:rsid w:val="664B7EA3"/>
    <w:rsid w:val="6681278C"/>
    <w:rsid w:val="669B2519"/>
    <w:rsid w:val="669F547B"/>
    <w:rsid w:val="677C27AC"/>
    <w:rsid w:val="677C3930"/>
    <w:rsid w:val="6784714B"/>
    <w:rsid w:val="67CC23BC"/>
    <w:rsid w:val="67E610C7"/>
    <w:rsid w:val="67E63213"/>
    <w:rsid w:val="680471F6"/>
    <w:rsid w:val="68073186"/>
    <w:rsid w:val="68203F22"/>
    <w:rsid w:val="68436A03"/>
    <w:rsid w:val="68442196"/>
    <w:rsid w:val="684B0916"/>
    <w:rsid w:val="685C18D8"/>
    <w:rsid w:val="68DA3D6D"/>
    <w:rsid w:val="68FE5C6A"/>
    <w:rsid w:val="68FE7118"/>
    <w:rsid w:val="69083F4F"/>
    <w:rsid w:val="69196F13"/>
    <w:rsid w:val="69443030"/>
    <w:rsid w:val="69747672"/>
    <w:rsid w:val="69B174F8"/>
    <w:rsid w:val="69FD770F"/>
    <w:rsid w:val="6A0942FC"/>
    <w:rsid w:val="6A1567FD"/>
    <w:rsid w:val="6A1B7B8C"/>
    <w:rsid w:val="6A223716"/>
    <w:rsid w:val="6A4D243B"/>
    <w:rsid w:val="6A9068A7"/>
    <w:rsid w:val="6A91630B"/>
    <w:rsid w:val="6AA13878"/>
    <w:rsid w:val="6AAA0E92"/>
    <w:rsid w:val="6ACC63D8"/>
    <w:rsid w:val="6AD20BC6"/>
    <w:rsid w:val="6ADA6168"/>
    <w:rsid w:val="6B26279F"/>
    <w:rsid w:val="6B5D66AE"/>
    <w:rsid w:val="6BE4748F"/>
    <w:rsid w:val="6BEB316F"/>
    <w:rsid w:val="6BED39F2"/>
    <w:rsid w:val="6C1F1BB5"/>
    <w:rsid w:val="6C3815FD"/>
    <w:rsid w:val="6C414E73"/>
    <w:rsid w:val="6C566516"/>
    <w:rsid w:val="6C573A42"/>
    <w:rsid w:val="6CB247D7"/>
    <w:rsid w:val="6CB3064A"/>
    <w:rsid w:val="6CEE560B"/>
    <w:rsid w:val="6CF0712C"/>
    <w:rsid w:val="6CFE1374"/>
    <w:rsid w:val="6D6A50B2"/>
    <w:rsid w:val="6D964739"/>
    <w:rsid w:val="6DA22527"/>
    <w:rsid w:val="6E110ECA"/>
    <w:rsid w:val="6E625106"/>
    <w:rsid w:val="6E667565"/>
    <w:rsid w:val="6E706E72"/>
    <w:rsid w:val="6E9A3134"/>
    <w:rsid w:val="6EFF672E"/>
    <w:rsid w:val="6F457B85"/>
    <w:rsid w:val="6FAB7D1A"/>
    <w:rsid w:val="6FC45E70"/>
    <w:rsid w:val="6FF03A95"/>
    <w:rsid w:val="700D0F97"/>
    <w:rsid w:val="70174D16"/>
    <w:rsid w:val="702A464D"/>
    <w:rsid w:val="7041213F"/>
    <w:rsid w:val="705E64FB"/>
    <w:rsid w:val="709B0FFC"/>
    <w:rsid w:val="70B76860"/>
    <w:rsid w:val="70F838FD"/>
    <w:rsid w:val="715B60E9"/>
    <w:rsid w:val="718030F6"/>
    <w:rsid w:val="71BB412E"/>
    <w:rsid w:val="724265FE"/>
    <w:rsid w:val="72616DCA"/>
    <w:rsid w:val="72633EC4"/>
    <w:rsid w:val="728F6785"/>
    <w:rsid w:val="729A251D"/>
    <w:rsid w:val="729E6251"/>
    <w:rsid w:val="72AB41A3"/>
    <w:rsid w:val="72C71868"/>
    <w:rsid w:val="72EA1C82"/>
    <w:rsid w:val="72FC66AF"/>
    <w:rsid w:val="73096AA1"/>
    <w:rsid w:val="73597C4D"/>
    <w:rsid w:val="736A5F74"/>
    <w:rsid w:val="73B3667E"/>
    <w:rsid w:val="73BC1064"/>
    <w:rsid w:val="73BF609C"/>
    <w:rsid w:val="74004F29"/>
    <w:rsid w:val="74575A8F"/>
    <w:rsid w:val="74A8685D"/>
    <w:rsid w:val="74AA63A8"/>
    <w:rsid w:val="74BD1990"/>
    <w:rsid w:val="75041707"/>
    <w:rsid w:val="755327D8"/>
    <w:rsid w:val="755E75AC"/>
    <w:rsid w:val="75B04D28"/>
    <w:rsid w:val="75B931A9"/>
    <w:rsid w:val="75D1111C"/>
    <w:rsid w:val="76103B5C"/>
    <w:rsid w:val="7610431D"/>
    <w:rsid w:val="76217E72"/>
    <w:rsid w:val="76333893"/>
    <w:rsid w:val="76570656"/>
    <w:rsid w:val="766F1523"/>
    <w:rsid w:val="767F2768"/>
    <w:rsid w:val="768B2BC6"/>
    <w:rsid w:val="76BF00C5"/>
    <w:rsid w:val="76DB0DCF"/>
    <w:rsid w:val="77222974"/>
    <w:rsid w:val="77406F30"/>
    <w:rsid w:val="77656957"/>
    <w:rsid w:val="77764E57"/>
    <w:rsid w:val="77AA7B0E"/>
    <w:rsid w:val="781D7BCE"/>
    <w:rsid w:val="78336811"/>
    <w:rsid w:val="78397F33"/>
    <w:rsid w:val="7859644F"/>
    <w:rsid w:val="785D3050"/>
    <w:rsid w:val="786C7F30"/>
    <w:rsid w:val="78803E49"/>
    <w:rsid w:val="78931744"/>
    <w:rsid w:val="78C40236"/>
    <w:rsid w:val="79420A15"/>
    <w:rsid w:val="79697501"/>
    <w:rsid w:val="79CA7117"/>
    <w:rsid w:val="79F37F28"/>
    <w:rsid w:val="7A1459AA"/>
    <w:rsid w:val="7A5519BE"/>
    <w:rsid w:val="7A7270AB"/>
    <w:rsid w:val="7A7A3FAE"/>
    <w:rsid w:val="7ABE7CDF"/>
    <w:rsid w:val="7ADA09AC"/>
    <w:rsid w:val="7B7B4D49"/>
    <w:rsid w:val="7B9A6B73"/>
    <w:rsid w:val="7BA717FD"/>
    <w:rsid w:val="7BAC5919"/>
    <w:rsid w:val="7BBE04C9"/>
    <w:rsid w:val="7C5D2D2C"/>
    <w:rsid w:val="7C6A4F78"/>
    <w:rsid w:val="7CD32A9A"/>
    <w:rsid w:val="7CEF474C"/>
    <w:rsid w:val="7CEF4D56"/>
    <w:rsid w:val="7D0B3CA7"/>
    <w:rsid w:val="7D2C157B"/>
    <w:rsid w:val="7D4505EA"/>
    <w:rsid w:val="7D4776FD"/>
    <w:rsid w:val="7D577C25"/>
    <w:rsid w:val="7D6E25A6"/>
    <w:rsid w:val="7D7B1E32"/>
    <w:rsid w:val="7D7F2D1B"/>
    <w:rsid w:val="7DA27E76"/>
    <w:rsid w:val="7DC26844"/>
    <w:rsid w:val="7E090B2A"/>
    <w:rsid w:val="7E1D6778"/>
    <w:rsid w:val="7E2447DE"/>
    <w:rsid w:val="7E5F5E41"/>
    <w:rsid w:val="7E627217"/>
    <w:rsid w:val="7EFC0134"/>
    <w:rsid w:val="7EFD0CAB"/>
    <w:rsid w:val="7F094660"/>
    <w:rsid w:val="7F1B7592"/>
    <w:rsid w:val="7F640C0C"/>
    <w:rsid w:val="7F771551"/>
    <w:rsid w:val="7F7E4C51"/>
    <w:rsid w:val="7F8C2203"/>
    <w:rsid w:val="7FA846C3"/>
    <w:rsid w:val="7FB16E37"/>
    <w:rsid w:val="7FE10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 w:beforeLines="40" w:after="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2">
    <w:name w:val="heading 4"/>
    <w:basedOn w:val="1"/>
    <w:next w:val="1"/>
    <w:qFormat/>
    <w:uiPriority w:val="9"/>
    <w:pPr>
      <w:keepNext/>
      <w:keepLines/>
      <w:spacing w:before="280" w:after="290" w:line="376" w:lineRule="auto"/>
      <w:outlineLvl w:val="3"/>
    </w:pPr>
    <w:rPr>
      <w:rFonts w:ascii="Cambria" w:hAnsi="Cambria"/>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szCs w:val="20"/>
    </w:rPr>
  </w:style>
  <w:style w:type="paragraph" w:styleId="7">
    <w:name w:val="annotation text"/>
    <w:basedOn w:val="1"/>
    <w:link w:val="49"/>
    <w:qFormat/>
    <w:uiPriority w:val="0"/>
    <w:pPr>
      <w:jc w:val="left"/>
    </w:pPr>
  </w:style>
  <w:style w:type="paragraph" w:styleId="8">
    <w:name w:val="Salutation"/>
    <w:basedOn w:val="1"/>
    <w:next w:val="1"/>
    <w:qFormat/>
    <w:uiPriority w:val="99"/>
  </w:style>
  <w:style w:type="paragraph" w:styleId="9">
    <w:name w:val="Body Text"/>
    <w:basedOn w:val="1"/>
    <w:next w:val="1"/>
    <w:qFormat/>
    <w:uiPriority w:val="0"/>
    <w:pPr>
      <w:jc w:val="center"/>
    </w:pPr>
    <w:rPr>
      <w:rFonts w:ascii="宋体" w:hAnsi="宋体"/>
      <w:sz w:val="72"/>
    </w:rPr>
  </w:style>
  <w:style w:type="paragraph" w:styleId="10">
    <w:name w:val="Body Text Indent"/>
    <w:basedOn w:val="1"/>
    <w:next w:val="11"/>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ind w:firstLine="420" w:firstLineChars="200"/>
    </w:pPr>
  </w:style>
  <w:style w:type="paragraph" w:styleId="13">
    <w:name w:val="Plain Text"/>
    <w:basedOn w:val="1"/>
    <w:next w:val="8"/>
    <w:qFormat/>
    <w:uiPriority w:val="0"/>
    <w:rPr>
      <w:rFonts w:ascii="宋体" w:hAnsi="Courier New" w:cs="Courier New"/>
      <w:szCs w:val="21"/>
    </w:rPr>
  </w:style>
  <w:style w:type="paragraph" w:styleId="14">
    <w:name w:val="Balloon Text"/>
    <w:basedOn w:val="1"/>
    <w:semiHidden/>
    <w:qFormat/>
    <w:uiPriority w:val="0"/>
    <w:rPr>
      <w:kern w:val="0"/>
      <w:sz w:val="18"/>
      <w:szCs w:val="20"/>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qFormat/>
    <w:uiPriority w:val="0"/>
    <w:pPr>
      <w:spacing w:line="360" w:lineRule="exact"/>
      <w:jc w:val="center"/>
    </w:pPr>
    <w:rPr>
      <w:rFonts w:ascii="仿宋_GB2312" w:eastAsia="仿宋_GB2312"/>
      <w:sz w:val="24"/>
      <w:szCs w:val="20"/>
    </w:rPr>
  </w:style>
  <w:style w:type="paragraph" w:styleId="18">
    <w:name w:val="Body Text Indent 3"/>
    <w:basedOn w:val="1"/>
    <w:qFormat/>
    <w:uiPriority w:val="99"/>
    <w:pPr>
      <w:ind w:left="420" w:leftChars="200"/>
    </w:pPr>
    <w:rPr>
      <w:sz w:val="16"/>
      <w:szCs w:val="16"/>
    </w:rPr>
  </w:style>
  <w:style w:type="paragraph" w:styleId="19">
    <w:name w:val="Body Text 2"/>
    <w:basedOn w:val="1"/>
    <w:next w:val="1"/>
    <w:qFormat/>
    <w:uiPriority w:val="0"/>
    <w:pPr>
      <w:spacing w:before="156" w:beforeLines="50"/>
    </w:pPr>
    <w:rPr>
      <w:sz w:val="36"/>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7"/>
    <w:next w:val="7"/>
    <w:link w:val="50"/>
    <w:qFormat/>
    <w:uiPriority w:val="0"/>
    <w:rPr>
      <w:b/>
      <w:bCs/>
    </w:rPr>
  </w:style>
  <w:style w:type="paragraph" w:styleId="22">
    <w:name w:val="Body Text First Indent"/>
    <w:basedOn w:val="9"/>
    <w:qFormat/>
    <w:uiPriority w:val="0"/>
    <w:pPr>
      <w:spacing w:after="120"/>
      <w:ind w:firstLine="420" w:firstLineChars="100"/>
      <w:jc w:val="both"/>
    </w:pPr>
    <w:rPr>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rPr>
  </w:style>
  <w:style w:type="character" w:styleId="27">
    <w:name w:val="page number"/>
    <w:qFormat/>
    <w:uiPriority w:val="99"/>
    <w:rPr>
      <w:rFonts w:cs="Times New Roman"/>
    </w:rPr>
  </w:style>
  <w:style w:type="character" w:styleId="28">
    <w:name w:val="Hyperlink"/>
    <w:basedOn w:val="25"/>
    <w:qFormat/>
    <w:uiPriority w:val="0"/>
    <w:rPr>
      <w:color w:val="0000FF"/>
      <w:u w:val="single"/>
    </w:rPr>
  </w:style>
  <w:style w:type="character" w:styleId="29">
    <w:name w:val="annotation reference"/>
    <w:basedOn w:val="25"/>
    <w:qFormat/>
    <w:uiPriority w:val="0"/>
    <w:rPr>
      <w:sz w:val="21"/>
      <w:szCs w:val="21"/>
    </w:rPr>
  </w:style>
  <w:style w:type="paragraph" w:customStyle="1" w:styleId="30">
    <w:name w:val="xl27"/>
    <w:basedOn w:val="1"/>
    <w:next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1">
    <w:name w:val="Default"/>
    <w:next w:val="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3">
    <w:name w:val="正文 首行缩进:  2 字符"/>
    <w:qFormat/>
    <w:uiPriority w:val="99"/>
    <w:pPr>
      <w:widowControl w:val="0"/>
      <w:ind w:firstLine="579" w:firstLineChars="200"/>
      <w:jc w:val="both"/>
    </w:pPr>
    <w:rPr>
      <w:rFonts w:ascii="Times New Roman" w:hAnsi="Times New Roman" w:eastAsia="宋体" w:cs="宋体"/>
      <w:kern w:val="2"/>
      <w:sz w:val="21"/>
      <w:lang w:val="en-US" w:eastAsia="zh-CN" w:bidi="ar-SA"/>
    </w:rPr>
  </w:style>
  <w:style w:type="paragraph" w:customStyle="1" w:styleId="34">
    <w:name w:val="p0"/>
    <w:basedOn w:val="1"/>
    <w:qFormat/>
    <w:uiPriority w:val="0"/>
    <w:pPr>
      <w:widowControl/>
      <w:jc w:val="left"/>
    </w:pPr>
    <w:rPr>
      <w:kern w:val="0"/>
      <w:szCs w:val="21"/>
    </w:rPr>
  </w:style>
  <w:style w:type="paragraph" w:customStyle="1" w:styleId="3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6">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37">
    <w:name w:val="2222"/>
    <w:basedOn w:val="1"/>
    <w:qFormat/>
    <w:uiPriority w:val="0"/>
    <w:pPr>
      <w:spacing w:after="156" w:line="500" w:lineRule="exact"/>
      <w:jc w:val="left"/>
    </w:pPr>
    <w:rPr>
      <w:rFonts w:ascii="宋体" w:hAnsi="宋体"/>
      <w:b/>
      <w:color w:val="000066"/>
      <w:sz w:val="28"/>
      <w:szCs w:val="20"/>
    </w:rPr>
  </w:style>
  <w:style w:type="paragraph" w:customStyle="1" w:styleId="38">
    <w:name w:val="表格内文字"/>
    <w:basedOn w:val="1"/>
    <w:qFormat/>
    <w:uiPriority w:val="0"/>
    <w:pPr>
      <w:tabs>
        <w:tab w:val="left" w:pos="0"/>
      </w:tabs>
      <w:adjustRightInd w:val="0"/>
      <w:snapToGrid w:val="0"/>
      <w:jc w:val="center"/>
    </w:pPr>
    <w:rPr>
      <w:rFonts w:eastAsia="仿宋_GB2312"/>
      <w:kern w:val="0"/>
      <w:sz w:val="24"/>
    </w:rPr>
  </w:style>
  <w:style w:type="paragraph" w:customStyle="1" w:styleId="39">
    <w:name w:val="Table Paragraph"/>
    <w:basedOn w:val="1"/>
    <w:qFormat/>
    <w:uiPriority w:val="1"/>
    <w:rPr>
      <w:rFonts w:eastAsia="Times New Roman"/>
      <w:lang w:val="zh-CN" w:bidi="zh-CN"/>
    </w:rPr>
  </w:style>
  <w:style w:type="paragraph" w:customStyle="1" w:styleId="40">
    <w:name w:val="表格"/>
    <w:basedOn w:val="6"/>
    <w:qFormat/>
    <w:uiPriority w:val="0"/>
    <w:pPr>
      <w:jc w:val="center"/>
    </w:pPr>
    <w:rPr>
      <w:sz w:val="24"/>
    </w:rPr>
  </w:style>
  <w:style w:type="paragraph" w:customStyle="1" w:styleId="41">
    <w:name w:val="1"/>
    <w:basedOn w:val="1"/>
    <w:next w:val="6"/>
    <w:qFormat/>
    <w:uiPriority w:val="99"/>
    <w:pPr>
      <w:ind w:firstLine="420"/>
    </w:pPr>
    <w:rPr>
      <w:rFonts w:ascii="宋体"/>
      <w:sz w:val="26"/>
      <w:szCs w:val="20"/>
    </w:rPr>
  </w:style>
  <w:style w:type="paragraph" w:customStyle="1" w:styleId="42">
    <w:name w:val="样式35"/>
    <w:basedOn w:val="1"/>
    <w:qFormat/>
    <w:uiPriority w:val="0"/>
    <w:pPr>
      <w:adjustRightInd w:val="0"/>
      <w:spacing w:line="312" w:lineRule="auto"/>
      <w:ind w:firstLine="567"/>
    </w:pPr>
    <w:rPr>
      <w:rFonts w:ascii="宋体"/>
      <w:kern w:val="0"/>
      <w:sz w:val="28"/>
      <w:szCs w:val="20"/>
    </w:rPr>
  </w:style>
  <w:style w:type="character" w:customStyle="1" w:styleId="43">
    <w:name w:val="font01"/>
    <w:qFormat/>
    <w:uiPriority w:val="0"/>
    <w:rPr>
      <w:rFonts w:ascii="font-weight : 400" w:hAnsi="font-weight : 400" w:eastAsia="font-weight : 400" w:cs="font-weight : 400"/>
      <w:color w:val="000000"/>
      <w:sz w:val="22"/>
      <w:szCs w:val="22"/>
      <w:u w:val="none"/>
    </w:rPr>
  </w:style>
  <w:style w:type="paragraph" w:customStyle="1" w:styleId="44">
    <w:name w:val="表格内正文 Char Char"/>
    <w:basedOn w:val="1"/>
    <w:qFormat/>
    <w:uiPriority w:val="99"/>
    <w:pPr>
      <w:snapToGrid w:val="0"/>
      <w:spacing w:line="360" w:lineRule="auto"/>
      <w:ind w:firstLine="493" w:firstLineChars="200"/>
    </w:pPr>
    <w:rPr>
      <w:spacing w:val="4"/>
      <w:kern w:val="18"/>
      <w:sz w:val="24"/>
    </w:rPr>
  </w:style>
  <w:style w:type="paragraph" w:customStyle="1" w:styleId="45">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1正文段落"/>
    <w:basedOn w:val="1"/>
    <w:qFormat/>
    <w:uiPriority w:val="0"/>
    <w:pPr>
      <w:spacing w:line="360" w:lineRule="auto"/>
      <w:ind w:firstLine="480" w:firstLineChars="200"/>
      <w:jc w:val="left"/>
    </w:pPr>
    <w:rPr>
      <w:kern w:val="0"/>
      <w:sz w:val="24"/>
      <w:szCs w:val="22"/>
    </w:rPr>
  </w:style>
  <w:style w:type="paragraph" w:customStyle="1" w:styleId="47">
    <w:name w:val="表格内容自定"/>
    <w:basedOn w:val="1"/>
    <w:qFormat/>
    <w:uiPriority w:val="0"/>
    <w:pPr>
      <w:spacing w:line="280" w:lineRule="exact"/>
      <w:jc w:val="center"/>
    </w:pPr>
    <w:rPr>
      <w:kern w:val="0"/>
      <w:sz w:val="18"/>
    </w:rPr>
  </w:style>
  <w:style w:type="paragraph" w:styleId="48">
    <w:name w:val="List Paragraph"/>
    <w:basedOn w:val="1"/>
    <w:unhideWhenUsed/>
    <w:qFormat/>
    <w:uiPriority w:val="1"/>
    <w:rPr>
      <w:sz w:val="24"/>
    </w:rPr>
  </w:style>
  <w:style w:type="character" w:customStyle="1" w:styleId="49">
    <w:name w:val="批注文字 字符"/>
    <w:basedOn w:val="25"/>
    <w:link w:val="7"/>
    <w:qFormat/>
    <w:uiPriority w:val="0"/>
    <w:rPr>
      <w:kern w:val="2"/>
      <w:sz w:val="21"/>
      <w:szCs w:val="24"/>
    </w:rPr>
  </w:style>
  <w:style w:type="character" w:customStyle="1" w:styleId="50">
    <w:name w:val="批注主题 字符"/>
    <w:basedOn w:val="49"/>
    <w:link w:val="21"/>
    <w:qFormat/>
    <w:uiPriority w:val="0"/>
    <w:rPr>
      <w:b/>
      <w:bCs/>
      <w:kern w:val="2"/>
      <w:sz w:val="21"/>
      <w:szCs w:val="24"/>
    </w:rPr>
  </w:style>
  <w:style w:type="paragraph" w:customStyle="1" w:styleId="51">
    <w:name w:val="表体"/>
    <w:basedOn w:val="1"/>
    <w:qFormat/>
    <w:uiPriority w:val="0"/>
    <w:pPr>
      <w:widowControl/>
      <w:adjustRightInd w:val="0"/>
      <w:jc w:val="center"/>
    </w:pPr>
    <w:rPr>
      <w:color w:val="FF000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3773</Words>
  <Characters>21510</Characters>
  <Lines>179</Lines>
  <Paragraphs>50</Paragraphs>
  <TotalTime>8</TotalTime>
  <ScaleCrop>false</ScaleCrop>
  <LinksUpToDate>false</LinksUpToDate>
  <CharactersWithSpaces>25233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2019-04-10T02:17:00Z</dcterms:created>
  <dc:creator>34404</dc:creator>
  <cp:lastModifiedBy>Administrator</cp:lastModifiedBy>
  <dcterms:modified xsi:type="dcterms:W3CDTF">2022-03-21T07:31:49Z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6A3CCED99C50431497DDCAE4401A32FF</vt:lpwstr>
  </property>
</Properties>
</file>